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lang w:val="en-US" w:eastAsia="zh-CN"/>
          <w14:shadow w14:blurRad="50800" w14:dist="38100" w14:dir="2700000" w14:sx="100000" w14:sy="100000" w14:kx="0" w14:ky="0" w14:algn="tl">
            <w14:srgbClr w14:val="000000">
              <w14:alpha w14:val="60000"/>
            </w14:srgbClr>
          </w14:shadow>
        </w:rPr>
        <w:t xml:space="preserve">  </w:t>
      </w: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番禺谢村片区策划方案</w:t>
      </w:r>
    </w:p>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合作项目</w:t>
      </w:r>
    </w:p>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w:t>
      </w:r>
      <w:r>
        <w:rPr>
          <w:rFonts w:hint="eastAsia" w:ascii="楷体" w:hAnsi="楷体" w:eastAsia="楷体" w:cs="宋体"/>
          <w:b/>
          <w:bCs/>
          <w:sz w:val="36"/>
          <w:szCs w:val="36"/>
          <w:lang w:val="en-US" w:eastAsia="zh-CN"/>
        </w:rPr>
        <w:t>顾问</w:t>
      </w:r>
      <w:r>
        <w:rPr>
          <w:rFonts w:hint="eastAsia" w:ascii="楷体" w:hAnsi="楷体" w:eastAsia="楷体" w:cs="宋体"/>
          <w:b/>
          <w:bCs/>
          <w:sz w:val="36"/>
          <w:szCs w:val="36"/>
        </w:rPr>
        <w:t>有限公司</w:t>
      </w:r>
    </w:p>
    <w:p>
      <w:pPr>
        <w:spacing w:line="400" w:lineRule="exact"/>
        <w:jc w:val="center"/>
        <w:rPr>
          <w:rFonts w:ascii="楷体" w:hAnsi="楷体" w:eastAsia="楷体" w:cs="宋体"/>
          <w:b/>
          <w:bCs/>
          <w:sz w:val="32"/>
          <w:szCs w:val="32"/>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w:t>
      </w:r>
      <w:r>
        <w:rPr>
          <w:rFonts w:hint="eastAsia" w:ascii="楷体" w:hAnsi="楷体" w:eastAsia="楷体" w:cs="宋体"/>
          <w:b/>
          <w:bCs/>
          <w:sz w:val="32"/>
          <w:szCs w:val="32"/>
          <w:lang w:val="en-US" w:eastAsia="zh-CN"/>
        </w:rPr>
        <w:t>2</w:t>
      </w:r>
      <w:r>
        <w:rPr>
          <w:rFonts w:hint="eastAsia" w:ascii="楷体" w:hAnsi="楷体" w:eastAsia="楷体" w:cs="宋体"/>
          <w:b/>
          <w:bCs/>
          <w:sz w:val="32"/>
          <w:szCs w:val="32"/>
        </w:rPr>
        <w:t>年</w:t>
      </w:r>
      <w:r>
        <w:rPr>
          <w:rFonts w:hint="eastAsia" w:ascii="楷体" w:hAnsi="楷体" w:eastAsia="楷体" w:cs="宋体"/>
          <w:b/>
          <w:bCs/>
          <w:sz w:val="32"/>
          <w:szCs w:val="32"/>
          <w:u w:val="single"/>
          <w:lang w:val="en-US" w:eastAsia="zh-CN"/>
        </w:rPr>
        <w:t>10</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21</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番禺谢村片区策划方案合作项目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根据有关法律法规及相关采购管理规定，本着公平、公正、公开原则，拟对番禺谢村片区策划方案合作项目进行公开竞选采购，按竞选采购程序选定相应服务单位，现将该竞选采购项目相关信息对外公开发布。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（一）项目名称：番禺谢村片区策划方案合作项目</w:t>
      </w:r>
    </w:p>
    <w:p>
      <w:pPr>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（二）项目内容：</w:t>
      </w:r>
      <w:r>
        <w:rPr>
          <w:rFonts w:hint="eastAsia" w:ascii="仿宋_GB2312" w:hAnsi="仿宋_GB2312" w:eastAsia="仿宋_GB2312" w:cs="仿宋_GB2312"/>
          <w:sz w:val="24"/>
          <w:szCs w:val="24"/>
          <w:highlight w:val="none"/>
          <w:lang w:val="en-US" w:eastAsia="zh-CN"/>
        </w:rPr>
        <w:t>本次合作内容针对番禺谢村片区项目，项目具体内容包括但不限于项目本体分析、项目所在区域产业规划解读、项目所在区域物业市场研判、对标案例参考、项目整体定位、分业态产品定位等一系列策划服务。</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具体内容详见附件。</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其中，我司工作内容：</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1.项目背景解读</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根据实际情况，对项目地块指标、区位条件、交通情况、周边配套等进行分析说明。</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2.项目所在区域公寓、住宅市场研判</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根据市场调研，对项目所在区域公寓住宅市场进行分析说明。</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3.住宅、公寓产品定位</w:t>
      </w:r>
    </w:p>
    <w:p>
      <w:pPr>
        <w:spacing w:line="400" w:lineRule="exact"/>
        <w:ind w:firstLine="42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根据市场情况及项目现状，对项目住宅公寓进行产品定位，包括开发定位、产品建议、价格建议等内容。</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合作单位</w:t>
      </w:r>
      <w:r>
        <w:rPr>
          <w:rFonts w:hint="default" w:ascii="仿宋_GB2312" w:hAnsi="仿宋_GB2312" w:eastAsia="仿宋_GB2312" w:cs="仿宋_GB2312"/>
          <w:sz w:val="24"/>
          <w:szCs w:val="24"/>
          <w:highlight w:val="none"/>
          <w:lang w:val="en-US" w:eastAsia="zh-CN"/>
        </w:rPr>
        <w:t>工作内容：</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1.项目所在区域产业规划解读</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分析项目区域上位规划，综合研判项目区域产业发展机会。</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2.项目所在区域写字楼、零售与酒店市场分析</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根据市场调研，对项目所在区域写字楼、零售与酒店市场进行分析说明。</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3.对标案例参考</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借鉴国内外成功案例，进行参考案例的成功点及经验借鉴建议。</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4.项目整体定位</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总结区域发展、市场供求、地块条件等部分内容，分析各物业开发的可行性，给出项目整体定位，并在选择物业类型的基础上给出最佳开发规模和配比的建议。</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5.写字楼、零售与酒店产品定位</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根据市场情况及项目现状，对项目写字楼、零售与酒店进行产品定位，包括开发定位、产品分析、价格建议等内容。</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番禺谢村组团</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（四）项目限价：</w:t>
      </w:r>
      <w:r>
        <w:rPr>
          <w:rFonts w:hint="eastAsia" w:ascii="仿宋_GB2312" w:hAnsi="仿宋_GB2312" w:eastAsia="仿宋_GB2312" w:cs="仿宋_GB2312"/>
          <w:sz w:val="24"/>
          <w:szCs w:val="24"/>
          <w:highlight w:val="none"/>
          <w:lang w:val="en-US" w:eastAsia="zh-CN"/>
        </w:rPr>
        <w:t>21.6</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szCs w:val="24"/>
        </w:rPr>
        <w:t>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含税</w:t>
      </w:r>
      <w:r>
        <w:rPr>
          <w:rFonts w:hint="eastAsia" w:ascii="仿宋_GB2312" w:hAnsi="仿宋_GB2312" w:eastAsia="仿宋_GB2312" w:cs="仿宋_GB2312"/>
          <w:sz w:val="24"/>
          <w:szCs w:val="24"/>
          <w:lang w:eastAsia="zh-CN"/>
        </w:rPr>
        <w:t>）</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w:t>
      </w:r>
      <w:r>
        <w:rPr>
          <w:rFonts w:hint="eastAsia" w:ascii="仿宋_GB2312" w:hAnsi="仿宋_GB2312" w:eastAsia="仿宋_GB2312" w:cs="仿宋_GB2312"/>
          <w:sz w:val="24"/>
          <w:szCs w:val="24"/>
          <w:lang w:val="en-US" w:eastAsia="zh-CN"/>
        </w:rPr>
        <w:t>合理</w:t>
      </w:r>
      <w:r>
        <w:rPr>
          <w:rFonts w:hint="eastAsia" w:ascii="仿宋_GB2312" w:hAnsi="仿宋_GB2312" w:eastAsia="仿宋_GB2312" w:cs="仿宋_GB2312"/>
          <w:sz w:val="24"/>
          <w:szCs w:val="24"/>
        </w:rPr>
        <w:t>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（二）番禺谢村片区策划方案合作项目</w:t>
      </w:r>
      <w:r>
        <w:rPr>
          <w:rFonts w:hint="eastAsia" w:ascii="仿宋_GB2312" w:hAnsi="仿宋_GB2312" w:eastAsia="仿宋_GB2312" w:cs="仿宋_GB2312"/>
          <w:sz w:val="24"/>
          <w:szCs w:val="24"/>
          <w:lang w:val="en-US" w:eastAsia="zh-CN"/>
        </w:rPr>
        <w:t>服务建议书（方案思路）</w:t>
      </w:r>
      <w:r>
        <w:rPr>
          <w:rFonts w:hint="eastAsia" w:ascii="仿宋_GB2312" w:hAnsi="仿宋_GB2312" w:eastAsia="仿宋_GB2312" w:cs="仿宋_GB2312"/>
          <w:sz w:val="24"/>
          <w:szCs w:val="24"/>
        </w:rPr>
        <w:t>。</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（三）番禺谢村片区策划方案合作项目</w:t>
      </w:r>
      <w:r>
        <w:rPr>
          <w:rFonts w:hint="eastAsia" w:ascii="仿宋_GB2312" w:hAnsi="仿宋_GB2312" w:eastAsia="仿宋_GB2312" w:cs="仿宋_GB2312"/>
          <w:sz w:val="24"/>
          <w:szCs w:val="24"/>
          <w:lang w:val="en-US" w:eastAsia="zh-CN"/>
        </w:rPr>
        <w:t>报价表。</w:t>
      </w:r>
    </w:p>
    <w:p>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lang w:val="en-US" w:eastAsia="zh-CN"/>
        </w:rPr>
        <w:t>公司业绩一览表（附合同首尾页）</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）竞投文件提交截止时间：202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25</w:t>
      </w:r>
      <w:r>
        <w:rPr>
          <w:rFonts w:hint="eastAsia" w:ascii="仿宋_GB2312" w:hAnsi="仿宋_GB2312" w:eastAsia="仿宋_GB2312" w:cs="仿宋_GB2312"/>
          <w:sz w:val="24"/>
          <w:szCs w:val="24"/>
        </w:rPr>
        <w:t>日上午10:00</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25</w:t>
      </w:r>
      <w:r>
        <w:rPr>
          <w:rFonts w:hint="eastAsia" w:ascii="仿宋_GB2312" w:hAnsi="仿宋_GB2312" w:eastAsia="仿宋_GB2312" w:cs="仿宋_GB2312"/>
          <w:sz w:val="24"/>
          <w:szCs w:val="24"/>
        </w:rPr>
        <w:t>日</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）递交地址：</w:t>
      </w:r>
      <w:r>
        <w:rPr>
          <w:rFonts w:hint="eastAsia" w:ascii="仿宋_GB2312" w:hAnsi="仿宋_GB2312" w:eastAsia="仿宋_GB2312" w:cs="仿宋_GB2312"/>
          <w:sz w:val="24"/>
          <w:szCs w:val="24"/>
          <w:highlight w:val="none"/>
        </w:rPr>
        <w:t>广州市越秀区</w:t>
      </w:r>
      <w:r>
        <w:rPr>
          <w:rFonts w:hint="eastAsia" w:ascii="仿宋_GB2312" w:hAnsi="仿宋_GB2312" w:eastAsia="仿宋_GB2312" w:cs="仿宋_GB2312"/>
          <w:sz w:val="24"/>
          <w:szCs w:val="24"/>
          <w:highlight w:val="none"/>
          <w:lang w:val="en-US" w:eastAsia="zh-CN"/>
        </w:rPr>
        <w:t>人民北路686</w:t>
      </w:r>
      <w:r>
        <w:rPr>
          <w:rFonts w:hint="eastAsia" w:ascii="仿宋_GB2312" w:hAnsi="仿宋_GB2312" w:eastAsia="仿宋_GB2312" w:cs="仿宋_GB2312"/>
          <w:sz w:val="24"/>
          <w:szCs w:val="24"/>
          <w:highlight w:val="none"/>
        </w:rPr>
        <w:t>号</w:t>
      </w:r>
      <w:r>
        <w:rPr>
          <w:rFonts w:hint="eastAsia" w:ascii="仿宋_GB2312" w:hAnsi="仿宋_GB2312" w:eastAsia="仿宋_GB2312" w:cs="仿宋_GB2312"/>
          <w:sz w:val="24"/>
          <w:szCs w:val="24"/>
          <w:highlight w:val="none"/>
          <w:lang w:val="en-US" w:eastAsia="zh-CN"/>
        </w:rPr>
        <w:t>广东广播中心大楼22楼</w:t>
      </w:r>
      <w:r>
        <w:rPr>
          <w:rFonts w:hint="eastAsia" w:ascii="仿宋_GB2312" w:hAnsi="仿宋_GB2312" w:eastAsia="仿宋_GB2312" w:cs="仿宋_GB2312"/>
          <w:sz w:val="24"/>
          <w:szCs w:val="24"/>
          <w:highlight w:val="none"/>
        </w:rPr>
        <w:t>。</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w:t>
      </w:r>
      <w:r>
        <w:rPr>
          <w:rFonts w:hint="eastAsia" w:ascii="仿宋_GB2312" w:hAnsi="仿宋_GB2312" w:eastAsia="仿宋_GB2312" w:cs="仿宋_GB2312"/>
          <w:sz w:val="24"/>
          <w:szCs w:val="24"/>
          <w:highlight w:val="none"/>
        </w:rPr>
        <w:t>广州市越秀区</w:t>
      </w:r>
      <w:r>
        <w:rPr>
          <w:rFonts w:hint="eastAsia" w:ascii="仿宋_GB2312" w:hAnsi="仿宋_GB2312" w:eastAsia="仿宋_GB2312" w:cs="仿宋_GB2312"/>
          <w:sz w:val="24"/>
          <w:szCs w:val="24"/>
          <w:highlight w:val="none"/>
          <w:lang w:val="en-US" w:eastAsia="zh-CN"/>
        </w:rPr>
        <w:t>人民北路686</w:t>
      </w:r>
      <w:r>
        <w:rPr>
          <w:rFonts w:hint="eastAsia" w:ascii="仿宋_GB2312" w:hAnsi="仿宋_GB2312" w:eastAsia="仿宋_GB2312" w:cs="仿宋_GB2312"/>
          <w:sz w:val="24"/>
          <w:szCs w:val="24"/>
          <w:highlight w:val="none"/>
        </w:rPr>
        <w:t>号</w:t>
      </w:r>
      <w:r>
        <w:rPr>
          <w:rFonts w:hint="eastAsia" w:ascii="仿宋_GB2312" w:hAnsi="仿宋_GB2312" w:eastAsia="仿宋_GB2312" w:cs="仿宋_GB2312"/>
          <w:sz w:val="24"/>
          <w:szCs w:val="24"/>
          <w:highlight w:val="none"/>
          <w:lang w:val="en-US" w:eastAsia="zh-CN"/>
        </w:rPr>
        <w:t>广东广播中心大楼22楼</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陈先生</w:t>
      </w:r>
    </w:p>
    <w:p>
      <w:pPr>
        <w:snapToGrid w:val="0"/>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020—</w:t>
      </w:r>
      <w:r>
        <w:rPr>
          <w:rFonts w:hint="eastAsia" w:ascii="仿宋_GB2312" w:hAnsi="仿宋_GB2312" w:eastAsia="仿宋_GB2312" w:cs="仿宋_GB2312"/>
          <w:sz w:val="24"/>
          <w:szCs w:val="24"/>
        </w:rPr>
        <w:t>83707976</w:t>
      </w: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widowControl/>
        <w:wordWrap w:val="0"/>
        <w:spacing w:line="400" w:lineRule="exact"/>
        <w:ind w:right="1200"/>
        <w:jc w:val="righ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21</w:t>
      </w:r>
      <w:r>
        <w:rPr>
          <w:rFonts w:hint="eastAsia" w:ascii="仿宋_GB2312" w:hAnsi="仿宋_GB2312" w:eastAsia="仿宋_GB2312" w:cs="仿宋_GB2312"/>
          <w:sz w:val="24"/>
          <w:szCs w:val="24"/>
        </w:rPr>
        <w:t>日</w:t>
      </w:r>
    </w:p>
    <w:p>
      <w:pPr>
        <w:widowControl/>
        <w:wordWrap/>
        <w:spacing w:line="400" w:lineRule="exact"/>
        <w:ind w:right="1200"/>
        <w:jc w:val="both"/>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pPr>
        <w:tabs>
          <w:tab w:val="left" w:pos="6564"/>
        </w:tabs>
        <w:spacing w:line="360" w:lineRule="auto"/>
        <w:textAlignment w:val="top"/>
        <w:rPr>
          <w:rFonts w:hint="eastAsia" w:ascii="仿宋_GB2312" w:hAnsi="仿宋_GB2312" w:eastAsia="仿宋_GB2312" w:cs="仿宋_GB2312"/>
          <w:b/>
          <w:bCs/>
          <w:sz w:val="28"/>
          <w:szCs w:val="28"/>
          <w:highlight w:val="none"/>
          <w:lang w:val="en-US" w:eastAsia="zh-CN"/>
        </w:rPr>
      </w:pPr>
      <w:bookmarkStart w:id="1" w:name="_Toc238282338"/>
      <w:bookmarkStart w:id="2" w:name="_Toc130180737"/>
      <w:bookmarkStart w:id="3" w:name="_Toc130180923"/>
      <w:bookmarkStart w:id="4" w:name="_Toc130180842"/>
      <w:bookmarkStart w:id="5" w:name="_Toc334797738"/>
      <w:r>
        <w:rPr>
          <w:rFonts w:hint="eastAsia" w:ascii="仿宋_GB2312" w:hAnsi="仿宋_GB2312" w:eastAsia="仿宋_GB2312" w:cs="仿宋_GB2312"/>
          <w:b/>
          <w:bCs/>
          <w:sz w:val="28"/>
          <w:szCs w:val="28"/>
          <w:highlight w:val="none"/>
          <w:lang w:val="en-US" w:eastAsia="zh-CN"/>
        </w:rPr>
        <w:t xml:space="preserve">附件 番禺谢村片区项目 工作大纲 </w:t>
      </w:r>
    </w:p>
    <w:p>
      <w:pPr>
        <w:snapToGrid w:val="0"/>
        <w:spacing w:line="360" w:lineRule="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本项目为针对番禺谢村片区进行拿地策划服务，服务内容具体包含如下，标蓝部分拟由招选的乙方单位完成，并配合甲方进行方案汇报。</w:t>
      </w:r>
    </w:p>
    <w:p>
      <w:pPr>
        <w:snapToGrid w:val="0"/>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Part1  项目背景解读</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地块基本指标</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地块交通情况</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地块周边配套情况</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地块四至</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地块SWOT分析</w:t>
      </w:r>
    </w:p>
    <w:p>
      <w:pPr>
        <w:snapToGrid w:val="0"/>
        <w:spacing w:line="360" w:lineRule="auto"/>
        <w:rPr>
          <w:rFonts w:hint="eastAsia" w:ascii="仿宋_GB2312" w:hAnsi="仿宋_GB2312" w:eastAsia="仿宋_GB2312" w:cs="仿宋_GB2312"/>
          <w:b/>
          <w:bCs/>
          <w:color w:val="0000FF"/>
          <w:sz w:val="24"/>
          <w:szCs w:val="24"/>
          <w:highlight w:val="none"/>
        </w:rPr>
      </w:pPr>
      <w:r>
        <w:rPr>
          <w:rFonts w:hint="eastAsia" w:ascii="仿宋_GB2312" w:hAnsi="仿宋_GB2312" w:eastAsia="仿宋_GB2312" w:cs="仿宋_GB2312"/>
          <w:b/>
          <w:bCs/>
          <w:color w:val="0000FF"/>
          <w:sz w:val="24"/>
          <w:szCs w:val="24"/>
          <w:highlight w:val="none"/>
        </w:rPr>
        <w:t>Part2  项目所在区域产业规划解读</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2.1 城市层级总体定位规划</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粤港澳大湾区规划</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广州十四五规划</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项目所在区域产业规划及前景分析</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2.2项目所在区域发展现状分析</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番禺区十四五规划</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广州南站商务区相关规划</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广州南站板块产业进驻现状</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FF"/>
          <w:sz w:val="24"/>
          <w:szCs w:val="24"/>
          <w:highlight w:val="none"/>
        </w:rPr>
        <w:t>2.3 南站片区未来重点交通规划</w:t>
      </w:r>
    </w:p>
    <w:p>
      <w:pPr>
        <w:snapToGrid w:val="0"/>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Part3  项目所在区域物业市场研判</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3.1区域写字楼市场分析及研判</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番禺区写字楼产业发展规律研究</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番禺区写字楼市场发展情况调研</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广州南站板块写字楼产业机遇分析</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广州南站板块写字楼市场发展情况</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项目所在区域写字楼发展机会研判</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3.2  区域零售市场分析及研判</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区域零售商业市场现状市场分析</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区域零售商业市场未来需求分析</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本项目开发零售商业物业机会研判</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3.3  区域酒店业态市场分析及研判</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广州南站片区酒店市场整体现状</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本项目未来酒店业态发展机会研判</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  区域公寓市场分析及研判</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番禺区、广州南站板块公寓市场供应分析</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番禺区、广州南站板块区域公寓市场需求分析</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本项目开发公寓物业机会研判及风险点分析</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3.5 住宅市场调研</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番禺区一手住宅市场供求情况</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番禺区各板块一手住宅供求情况</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项目周边一二手住宅供求情况</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周边竞品分析</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广州城投领南府</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越秀星寰TOD</w:t>
      </w:r>
    </w:p>
    <w:p>
      <w:pPr>
        <w:snapToGrid w:val="0"/>
        <w:spacing w:line="360" w:lineRule="auto"/>
        <w:rPr>
          <w:rFonts w:hint="eastAsia" w:ascii="仿宋_GB2312" w:hAnsi="仿宋_GB2312" w:eastAsia="仿宋_GB2312" w:cs="仿宋_GB2312"/>
          <w:b/>
          <w:bCs/>
          <w:color w:val="0000FF"/>
          <w:sz w:val="24"/>
          <w:szCs w:val="24"/>
          <w:highlight w:val="none"/>
        </w:rPr>
      </w:pPr>
      <w:r>
        <w:rPr>
          <w:rFonts w:hint="eastAsia" w:ascii="仿宋_GB2312" w:hAnsi="仿宋_GB2312" w:eastAsia="仿宋_GB2312" w:cs="仿宋_GB2312"/>
          <w:b/>
          <w:bCs/>
          <w:color w:val="0000FF"/>
          <w:sz w:val="24"/>
          <w:szCs w:val="24"/>
          <w:highlight w:val="none"/>
        </w:rPr>
        <w:t>Part4  对标案例参考</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借鉴国内外成功案例，参考案例的成功点及经验借鉴建议。</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借鉴点包含：区域规划、项目定位、产业发展、物业载体开发等。</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FF"/>
          <w:sz w:val="24"/>
          <w:szCs w:val="24"/>
          <w:highlight w:val="none"/>
        </w:rPr>
        <w:t>案例包含高铁枢纽站点周边区域开发、大型文体设施周边产业及物业发展等项目（如上海虹桥高铁枢纽周边片区开发）</w:t>
      </w:r>
    </w:p>
    <w:p>
      <w:pPr>
        <w:snapToGrid w:val="0"/>
        <w:spacing w:line="360" w:lineRule="auto"/>
        <w:rPr>
          <w:rFonts w:hint="eastAsia" w:ascii="仿宋_GB2312" w:hAnsi="仿宋_GB2312" w:eastAsia="仿宋_GB2312" w:cs="仿宋_GB2312"/>
          <w:b/>
          <w:bCs/>
          <w:color w:val="0000FF"/>
          <w:sz w:val="24"/>
          <w:szCs w:val="24"/>
          <w:highlight w:val="none"/>
        </w:rPr>
      </w:pPr>
      <w:r>
        <w:rPr>
          <w:rFonts w:hint="eastAsia" w:ascii="仿宋_GB2312" w:hAnsi="仿宋_GB2312" w:eastAsia="仿宋_GB2312" w:cs="仿宋_GB2312"/>
          <w:b/>
          <w:bCs/>
          <w:color w:val="0000FF"/>
          <w:sz w:val="24"/>
          <w:szCs w:val="24"/>
          <w:highlight w:val="none"/>
        </w:rPr>
        <w:t>Part5  项目整体定位</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5.1项目整体定位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站位城市高度，立足项目所在区域区域规划，提出本项目的市场占位及总体定位方向</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5.2 项目功能物业发展定位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通过总结区域发展、市场供求、地块条件等部分内容，分析各物业开发的可行性，并在选择物业类型的基础上给出最佳开发规模和配比的建议。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项目功能物业组合</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功能业态配比建议</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5.3 各功能物业规划布局</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 xml:space="preserve">5.4 地块分期开发计划 </w:t>
      </w:r>
    </w:p>
    <w:p>
      <w:pPr>
        <w:snapToGrid w:val="0"/>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Part6  分业态产品定位</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FF"/>
          <w:sz w:val="24"/>
          <w:szCs w:val="24"/>
          <w:highlight w:val="none"/>
        </w:rPr>
        <w:t>6.1 办公物业定位方向及产品建议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客群定位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办公物业开发方向建议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形象定位及档次定位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开发办公物业细化定位建议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开发经营模式建议、租售模式及租售价格建议等</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 xml:space="preserve">办公物业产品标准建议 </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停车位数量及价格建议</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6.2 零售商业定位方向及业态建议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可行性及竞争策略分析主要结论</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整体商业档次定位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主题及业态功能定位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业态组合建议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租售价格建议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停车位数量及价格建议</w:t>
      </w:r>
    </w:p>
    <w:p>
      <w:pPr>
        <w:snapToGrid w:val="0"/>
        <w:spacing w:line="360" w:lineRule="auto"/>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6.3酒店业态定位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档次定位</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品牌建议（整租品牌推荐、或酒店管理公司及品牌建议）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经营模式建议（自营或整体租赁）</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规模定位（房间数量、配比、配套功能、标间价格建议、出租率预测或整租预测价格）</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停车位数量及价格建议</w:t>
      </w:r>
    </w:p>
    <w:p>
      <w:pPr>
        <w:numPr>
          <w:ilvl w:val="0"/>
          <w:numId w:val="2"/>
        </w:numPr>
        <w:snapToGrid w:val="0"/>
        <w:spacing w:line="360" w:lineRule="auto"/>
        <w:ind w:left="420" w:leftChars="0" w:hanging="420" w:firstLineChars="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0000FF"/>
          <w:sz w:val="24"/>
          <w:szCs w:val="24"/>
          <w:highlight w:val="none"/>
        </w:rPr>
        <w:t>装修风格建议</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6.4 公寓物业开发定位建议</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客群定位</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公寓开发的竞争策略及主要结论</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公寓物业开发定位建议</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公寓物业销售价格及销售策略建议等</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停车位数量及价格建议</w:t>
      </w:r>
    </w:p>
    <w:p>
      <w:pPr>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6.5 住宅定位</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客群定位</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物业开发定位建议</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产品建议、装修标准</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销售价格及销售节奏建议</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停车位数量及价格建议</w:t>
      </w:r>
    </w:p>
    <w:p>
      <w:pPr>
        <w:numPr>
          <w:ilvl w:val="0"/>
          <w:numId w:val="2"/>
        </w:numPr>
        <w:snapToGrid w:val="0"/>
        <w:spacing w:line="360" w:lineRule="auto"/>
        <w:ind w:left="420" w:leftChars="0" w:hanging="42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其他建议（如有：园林、整体装修风格）</w:t>
      </w:r>
    </w:p>
    <w:p>
      <w:r>
        <w:br w:type="page"/>
      </w:r>
    </w:p>
    <w:p>
      <w:pPr>
        <w:keepNext/>
        <w:numPr>
          <w:ilvl w:val="0"/>
          <w:numId w:val="0"/>
        </w:numPr>
        <w:spacing w:line="400" w:lineRule="exact"/>
        <w:ind w:right="-441" w:rightChars="-210"/>
        <w:jc w:val="center"/>
        <w:outlineLvl w:val="0"/>
        <w:rPr>
          <w:rFonts w:ascii="仿宋_GB2312" w:hAnsi="Calibri" w:eastAsia="仿宋_GB2312" w:cs="Times New Roman"/>
          <w:b/>
          <w:sz w:val="32"/>
          <w:szCs w:val="32"/>
          <w:highlight w:val="none"/>
        </w:rPr>
      </w:pPr>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番禺谢村片区策划方案合作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hint="eastAsia"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hint="eastAsia" w:ascii="仿宋_GB2312" w:hAnsi="仿宋_GB2312" w:eastAsia="仿宋_GB2312" w:cs="仿宋_GB2312"/>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（2）项目服务建议书（参考附件7）；</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按本须知规定填写的项目竞选函（参考见附件2），法定代表人证明及授权书（参考附件3），竞投汇总表（参考附件4），资格文件声明的函（参考附件5）及业绩一览表（参考见附件6）；</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项目名称：番禺谢村片区策划方案合作项目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项目名称：番禺谢村片区策划方案合作项目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numPr>
          <w:ilvl w:val="0"/>
          <w:numId w:val="4"/>
        </w:num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Cs w:val="21"/>
          <w:highlight w:val="none"/>
        </w:rPr>
        <w:t>递交地点：</w:t>
      </w:r>
      <w:r>
        <w:rPr>
          <w:rFonts w:hint="eastAsia" w:ascii="仿宋_GB2312" w:hAnsi="仿宋_GB2312" w:eastAsia="仿宋_GB2312" w:cs="仿宋_GB2312"/>
          <w:sz w:val="24"/>
          <w:szCs w:val="24"/>
          <w:highlight w:val="none"/>
        </w:rPr>
        <w:t>广州市越秀区</w:t>
      </w:r>
      <w:r>
        <w:rPr>
          <w:rFonts w:hint="eastAsia" w:ascii="仿宋_GB2312" w:hAnsi="仿宋_GB2312" w:eastAsia="仿宋_GB2312" w:cs="仿宋_GB2312"/>
          <w:sz w:val="24"/>
          <w:szCs w:val="24"/>
          <w:highlight w:val="none"/>
          <w:lang w:val="en-US" w:eastAsia="zh-CN"/>
        </w:rPr>
        <w:t>人民北路686</w:t>
      </w:r>
      <w:r>
        <w:rPr>
          <w:rFonts w:hint="eastAsia" w:ascii="仿宋_GB2312" w:hAnsi="仿宋_GB2312" w:eastAsia="仿宋_GB2312" w:cs="仿宋_GB2312"/>
          <w:sz w:val="24"/>
          <w:szCs w:val="24"/>
          <w:highlight w:val="none"/>
        </w:rPr>
        <w:t>号</w:t>
      </w:r>
      <w:r>
        <w:rPr>
          <w:rFonts w:hint="eastAsia" w:ascii="仿宋_GB2312" w:hAnsi="仿宋_GB2312" w:eastAsia="仿宋_GB2312" w:cs="仿宋_GB2312"/>
          <w:sz w:val="24"/>
          <w:szCs w:val="24"/>
          <w:highlight w:val="none"/>
          <w:lang w:val="en-US" w:eastAsia="zh-CN"/>
        </w:rPr>
        <w:t>广东广播中心大楼22楼</w:t>
      </w:r>
      <w:r>
        <w:rPr>
          <w:rFonts w:hint="eastAsia" w:ascii="仿宋_GB2312" w:hAnsi="仿宋_GB2312" w:eastAsia="仿宋_GB2312" w:cs="仿宋_GB2312"/>
          <w:sz w:val="24"/>
          <w:szCs w:val="24"/>
          <w:highlight w:val="none"/>
        </w:rPr>
        <w:t>。</w:t>
      </w:r>
    </w:p>
    <w:p>
      <w:pPr>
        <w:numPr>
          <w:ilvl w:val="0"/>
          <w:numId w:val="0"/>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25</w:t>
      </w:r>
      <w:bookmarkStart w:id="15" w:name="_GoBack"/>
      <w:bookmarkEnd w:id="15"/>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highlight w:val="none"/>
        </w:rPr>
        <w:t>三、评审/选定方法及标准</w:t>
      </w:r>
    </w:p>
    <w:p>
      <w:pPr>
        <w:spacing w:line="400" w:lineRule="exact"/>
        <w:rPr>
          <w:rFonts w:ascii="Calibri" w:hAnsi="Calibri" w:eastAsia="宋体" w:cs="Times New Roman"/>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宋体"/>
                <w:kern w:val="0"/>
                <w:szCs w:val="21"/>
                <w:lang w:val="en-US" w:eastAsia="zh-CN"/>
              </w:rPr>
              <w:t>=</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以通过本项目资格及符合性检查且若位于[项目限价*80%，项目限价]区间的竞投报价（不含税，下同）计算。竞投报价中</w:t>
            </w:r>
            <w:r>
              <w:rPr>
                <w:rFonts w:hint="eastAsia" w:ascii="仿宋_GB2312" w:hAnsi="宋体" w:eastAsia="仿宋_GB2312" w:cs="宋体"/>
                <w:kern w:val="0"/>
                <w:szCs w:val="21"/>
                <w:highlight w:val="none"/>
                <w:lang w:val="en-US" w:eastAsia="zh-CN"/>
              </w:rPr>
              <w:t>报价最低的</w:t>
            </w:r>
            <w:r>
              <w:rPr>
                <w:rFonts w:hint="eastAsia" w:ascii="仿宋_GB2312" w:hAnsi="宋体" w:eastAsia="仿宋_GB2312" w:cs="宋体"/>
                <w:kern w:val="0"/>
                <w:szCs w:val="21"/>
                <w:highlight w:val="none"/>
              </w:rPr>
              <w:t>单位得50分，其余报价单位的报价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情况</w:t>
            </w:r>
            <w:r>
              <w:rPr>
                <w:rFonts w:hint="eastAsia" w:ascii="仿宋_GB2312" w:hAnsi="宋体" w:eastAsia="仿宋_GB2312" w:cs="Times New Roman"/>
                <w:szCs w:val="21"/>
              </w:rPr>
              <w:t>评分由高到低顺序排列。综合评分相同，且不含税报价、竞投报价和</w:t>
            </w:r>
            <w:r>
              <w:rPr>
                <w:rFonts w:hint="eastAsia" w:ascii="仿宋_GB2312" w:hAnsi="宋体" w:eastAsia="仿宋_GB2312" w:cs="Times New Roman"/>
                <w:szCs w:val="21"/>
                <w:lang w:val="en-US" w:eastAsia="zh-CN"/>
              </w:rPr>
              <w:t>商务</w:t>
            </w:r>
            <w:r>
              <w:rPr>
                <w:rFonts w:hint="eastAsia" w:ascii="仿宋_GB2312" w:hAnsi="宋体" w:eastAsia="仿宋_GB2312" w:cs="Times New Roman"/>
                <w:szCs w:val="21"/>
              </w:rPr>
              <w:t>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6"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7" w:name="OLE_LINK2"/>
      <w:bookmarkStart w:id="8" w:name="OLE_LINK3"/>
      <w:r>
        <w:rPr>
          <w:rFonts w:hint="eastAsia" w:ascii="仿宋_GB2312" w:hAnsi="宋体" w:eastAsia="仿宋_GB2312" w:cs="宋体"/>
          <w:b/>
          <w:bCs/>
          <w:sz w:val="30"/>
          <w:szCs w:val="30"/>
        </w:rPr>
        <w:t>符合性检查表</w:t>
      </w:r>
      <w:bookmarkEnd w:id="6"/>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5"/>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5"/>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5"/>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0分</w:t>
            </w:r>
          </w:p>
        </w:tc>
        <w:tc>
          <w:tcPr>
            <w:tcW w:w="4866" w:type="dxa"/>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提供相应合同或中标通知书等相关证明文件</w:t>
            </w:r>
            <w:r>
              <w:rPr>
                <w:rFonts w:hint="eastAsia" w:ascii="仿宋_GB2312" w:hAnsi="宋体" w:eastAsia="仿宋_GB2312" w:cs="宋体"/>
                <w:kern w:val="0"/>
                <w:szCs w:val="21"/>
                <w:lang w:eastAsia="zh-CN"/>
              </w:rPr>
              <w:t>）</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以通过本项目资格及符合性检查且若位于[项目限价*80%，项目限价]区间的竞投报价（不含税，下同）计算。竞投报价中报价最低的单位得50分，</w:t>
            </w:r>
            <w:r>
              <w:rPr>
                <w:rFonts w:hint="eastAsia" w:ascii="仿宋_GB2312" w:hAnsi="宋体" w:eastAsia="仿宋_GB2312" w:cs="宋体"/>
                <w:kern w:val="0"/>
                <w:szCs w:val="21"/>
                <w:highlight w:val="none"/>
              </w:rPr>
              <w:t>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w:t>
            </w:r>
            <w:r>
              <w:rPr>
                <w:rFonts w:hint="eastAsia" w:ascii="仿宋_GB2312" w:hAnsi="宋体" w:eastAsia="仿宋_GB2312" w:cs="宋体"/>
                <w:kern w:val="0"/>
                <w:szCs w:val="21"/>
              </w:rPr>
              <w:t>凡不在本项目设置的合理报价区间范围内的报价单位得0分。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p>
      <w:pPr>
        <w:jc w:val="center"/>
        <w:rPr>
          <w:rFonts w:ascii="Calibri" w:hAnsi="Calibri" w:eastAsia="宋体" w:cs="Times New Roman"/>
          <w:szCs w:val="24"/>
        </w:rPr>
      </w:pPr>
      <w:r>
        <w:rPr>
          <w:rFonts w:hint="eastAsia" w:ascii="宋体" w:hAnsi="宋体" w:eastAsia="宋体" w:cs="宋体"/>
          <w:b/>
          <w:sz w:val="32"/>
          <w:szCs w:val="32"/>
        </w:rPr>
        <w:t>项目方案评审表</w:t>
      </w:r>
      <w:r>
        <w:rPr>
          <w:rFonts w:hint="eastAsia" w:ascii="Calibri" w:hAnsi="Calibri" w:eastAsia="宋体" w:cs="Times New Roman"/>
          <w:szCs w:val="24"/>
        </w:rPr>
        <w:t xml:space="preserve">             </w:t>
      </w:r>
    </w:p>
    <w:p>
      <w:pPr>
        <w:jc w:val="right"/>
        <w:rPr>
          <w:rFonts w:hint="eastAsia" w:ascii="宋体" w:hAnsi="宋体" w:eastAsia="宋体" w:cs="宋体"/>
          <w:b/>
          <w:sz w:val="32"/>
          <w:szCs w:val="32"/>
        </w:rPr>
      </w:pPr>
      <w:r>
        <w:rPr>
          <w:rFonts w:hint="eastAsia" w:ascii="Calibri" w:hAnsi="Calibri" w:eastAsia="宋体" w:cs="Times New Roman"/>
          <w:szCs w:val="24"/>
        </w:rPr>
        <w:t xml:space="preserve">日期：    年  月 </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结构完整性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15分</w:t>
            </w:r>
          </w:p>
        </w:tc>
        <w:tc>
          <w:tcPr>
            <w:tcW w:w="4866" w:type="dxa"/>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服务建议书结构完整</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项目本体分析、项目所在区域解读、项目产品定位等</w:t>
            </w:r>
            <w:r>
              <w:rPr>
                <w:rFonts w:hint="eastAsia" w:ascii="仿宋_GB2312" w:hAnsi="宋体" w:eastAsia="仿宋_GB2312" w:cs="宋体"/>
                <w:kern w:val="0"/>
                <w:szCs w:val="21"/>
              </w:rPr>
              <w:t>。</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定位合理性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服务建议书对项目定位准确，符合项目区位条件及发展规划。优：11-15分；良：6-10分；差:0-5分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项目亮点</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r>
              <w:rPr>
                <w:rFonts w:hint="eastAsia" w:ascii="仿宋_GB2312" w:hAnsi="宋体" w:eastAsia="仿宋_GB2312" w:cs="宋体"/>
                <w:kern w:val="0"/>
                <w:szCs w:val="21"/>
              </w:rPr>
              <w:t>分</w:t>
            </w:r>
          </w:p>
        </w:tc>
        <w:tc>
          <w:tcPr>
            <w:tcW w:w="4866" w:type="dxa"/>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服务建议书中有亮点</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项目布局及落位、产品定位、区域解读</w:t>
            </w:r>
            <w:r>
              <w:rPr>
                <w:rFonts w:hint="eastAsia" w:ascii="仿宋_GB2312" w:hAnsi="宋体" w:eastAsia="仿宋_GB2312" w:cs="宋体"/>
                <w:kern w:val="0"/>
                <w:szCs w:val="21"/>
                <w:highlight w:val="none"/>
                <w:lang w:val="en-US" w:eastAsia="zh-CN"/>
              </w:rPr>
              <w:t>等的</w:t>
            </w:r>
            <w:r>
              <w:rPr>
                <w:rFonts w:hint="eastAsia" w:ascii="仿宋_GB2312" w:hAnsi="宋体" w:eastAsia="仿宋_GB2312" w:cs="宋体"/>
                <w:kern w:val="0"/>
                <w:szCs w:val="21"/>
                <w:lang w:val="en-US" w:eastAsia="zh-CN"/>
              </w:rPr>
              <w:t>亮点优势</w:t>
            </w:r>
            <w:r>
              <w:rPr>
                <w:rFonts w:hint="eastAsia" w:ascii="仿宋_GB2312" w:hAnsi="宋体" w:eastAsia="仿宋_GB2312" w:cs="宋体"/>
                <w:kern w:val="0"/>
                <w:szCs w:val="21"/>
              </w:rPr>
              <w:t>。</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优：7-10分；良：4-6分；差:0-3分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bookmarkEnd w:id="7"/>
    <w:bookmarkEnd w:id="8"/>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商务</w:t>
            </w:r>
            <w:r>
              <w:rPr>
                <w:rFonts w:hint="eastAsia" w:ascii="仿宋_GB2312" w:hAnsi="宋体" w:eastAsia="仿宋_GB2312" w:cs="宋体"/>
                <w:kern w:val="0"/>
                <w:szCs w:val="21"/>
              </w:rPr>
              <w:t>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400" w:lineRule="exact"/>
        <w:rPr>
          <w:rFonts w:ascii="仿宋_GB2312" w:hAnsi="Calibri" w:eastAsia="仿宋_GB2312" w:cs="Times New Roman"/>
          <w:szCs w:val="24"/>
        </w:rPr>
      </w:pPr>
    </w:p>
    <w:p>
      <w:pPr>
        <w:spacing w:line="400" w:lineRule="exact"/>
        <w:rPr>
          <w:rFonts w:ascii="仿宋_GB2312" w:hAnsi="Calibri" w:eastAsia="仿宋_GB2312" w:cs="Times New Roman"/>
          <w:szCs w:val="24"/>
        </w:rPr>
      </w:pPr>
      <w:r>
        <w:rPr>
          <w:rFonts w:hint="eastAsia" w:ascii="仿宋_GB2312" w:hAnsi="Calibri" w:eastAsia="仿宋_GB2312" w:cs="Times New Roman"/>
          <w:szCs w:val="24"/>
        </w:rPr>
        <w:t>合同编号：</w:t>
      </w:r>
    </w:p>
    <w:p>
      <w:pPr>
        <w:tabs>
          <w:tab w:val="left" w:pos="3960"/>
        </w:tabs>
        <w:spacing w:line="400" w:lineRule="exact"/>
        <w:ind w:right="420" w:rightChars="200"/>
        <w:jc w:val="center"/>
        <w:rPr>
          <w:rFonts w:ascii="仿宋_GB2312" w:hAnsi="Arial" w:eastAsia="仿宋_GB2312" w:cs="Arial"/>
          <w:b/>
          <w:sz w:val="30"/>
          <w:szCs w:val="30"/>
        </w:rPr>
      </w:pPr>
    </w:p>
    <w:tbl>
      <w:tblPr>
        <w:tblStyle w:val="6"/>
        <w:tblW w:w="9262" w:type="dxa"/>
        <w:tblInd w:w="-189" w:type="dxa"/>
        <w:tblLayout w:type="fixed"/>
        <w:tblCellMar>
          <w:top w:w="0" w:type="dxa"/>
          <w:left w:w="0" w:type="dxa"/>
          <w:bottom w:w="0" w:type="dxa"/>
          <w:right w:w="0" w:type="dxa"/>
        </w:tblCellMar>
      </w:tblPr>
      <w:tblGrid>
        <w:gridCol w:w="9262"/>
      </w:tblGrid>
      <w:tr>
        <w:tblPrEx>
          <w:tblCellMar>
            <w:top w:w="0" w:type="dxa"/>
            <w:left w:w="0" w:type="dxa"/>
            <w:bottom w:w="0" w:type="dxa"/>
            <w:right w:w="0" w:type="dxa"/>
          </w:tblCellMar>
        </w:tblPrEx>
        <w:trPr>
          <w:trHeight w:val="1323" w:hRule="atLeast"/>
        </w:trPr>
        <w:tc>
          <w:tcPr>
            <w:tcW w:w="9262" w:type="dxa"/>
          </w:tcPr>
          <w:p>
            <w:pPr>
              <w:widowControl/>
              <w:jc w:val="left"/>
              <w:rPr>
                <w:rFonts w:ascii="微软雅黑" w:hAnsi="微软雅黑" w:eastAsia="微软雅黑" w:cs="Calibri"/>
                <w:kern w:val="0"/>
                <w:sz w:val="16"/>
                <w:szCs w:val="16"/>
              </w:rPr>
            </w:pPr>
          </w:p>
        </w:tc>
      </w:tr>
      <w:tr>
        <w:tblPrEx>
          <w:tblCellMar>
            <w:top w:w="0" w:type="dxa"/>
            <w:left w:w="0" w:type="dxa"/>
            <w:bottom w:w="0" w:type="dxa"/>
            <w:right w:w="0" w:type="dxa"/>
          </w:tblCellMar>
        </w:tblPrEx>
        <w:trPr>
          <w:trHeight w:val="4322" w:hRule="exact"/>
        </w:trPr>
        <w:tc>
          <w:tcPr>
            <w:tcW w:w="9262" w:type="dxa"/>
          </w:tcPr>
          <w:p>
            <w:pPr>
              <w:spacing w:line="276"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6"/>
                <w:szCs w:val="16"/>
              </w:rPr>
              <w:t>番禺谢村片区策划方案</w:t>
            </w:r>
          </w:p>
          <w:p>
            <w:pPr>
              <w:spacing w:line="276"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6"/>
                <w:szCs w:val="16"/>
              </w:rPr>
              <w:t>项目合作合同</w:t>
            </w:r>
          </w:p>
        </w:tc>
      </w:tr>
      <w:tr>
        <w:trPr>
          <w:trHeight w:val="2551" w:hRule="atLeast"/>
        </w:trPr>
        <w:tc>
          <w:tcPr>
            <w:tcW w:w="9262" w:type="dxa"/>
          </w:tcPr>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tc>
      </w:tr>
      <w:tr>
        <w:trPr>
          <w:trHeight w:val="568" w:hRule="atLeast"/>
        </w:trPr>
        <w:tc>
          <w:tcPr>
            <w:tcW w:w="9262" w:type="dxa"/>
          </w:tcPr>
          <w:p>
            <w:pPr>
              <w:widowControl/>
              <w:spacing w:line="360" w:lineRule="atLeast"/>
              <w:rPr>
                <w:rFonts w:ascii="微软雅黑" w:hAnsi="微软雅黑" w:eastAsia="微软雅黑" w:cs="Calibri"/>
                <w:kern w:val="0"/>
                <w:sz w:val="32"/>
                <w:szCs w:val="16"/>
              </w:rPr>
            </w:pPr>
          </w:p>
          <w:p>
            <w:pPr>
              <w:widowControl/>
              <w:spacing w:line="360" w:lineRule="atLeast"/>
              <w:rPr>
                <w:rFonts w:ascii="微软雅黑" w:hAnsi="微软雅黑" w:eastAsia="微软雅黑" w:cs="Calibri"/>
                <w:kern w:val="0"/>
                <w:sz w:val="32"/>
                <w:szCs w:val="16"/>
              </w:rPr>
            </w:pPr>
          </w:p>
          <w:p>
            <w:pPr>
              <w:widowControl/>
              <w:spacing w:line="360" w:lineRule="atLeast"/>
              <w:jc w:val="center"/>
              <w:rPr>
                <w:rFonts w:hint="eastAsia" w:ascii="微软雅黑" w:hAnsi="微软雅黑" w:eastAsia="微软雅黑" w:cs="Calibri"/>
                <w:b/>
                <w:kern w:val="0"/>
                <w:sz w:val="24"/>
                <w:szCs w:val="24"/>
              </w:rPr>
            </w:pPr>
            <w:r>
              <w:rPr>
                <w:rFonts w:hint="eastAsia" w:ascii="微软雅黑" w:hAnsi="微软雅黑" w:eastAsia="微软雅黑" w:cs="Calibri"/>
                <w:b/>
                <w:kern w:val="0"/>
                <w:sz w:val="24"/>
                <w:szCs w:val="24"/>
              </w:rPr>
              <w:t>广州市城壹房地产顾问有限公司</w:t>
            </w:r>
          </w:p>
          <w:p>
            <w:pPr>
              <w:widowControl/>
              <w:spacing w:line="360" w:lineRule="atLeast"/>
              <w:rPr>
                <w:rFonts w:ascii="微软雅黑" w:hAnsi="微软雅黑" w:eastAsia="微软雅黑" w:cs="Calibri"/>
                <w:b/>
                <w:kern w:val="0"/>
                <w:sz w:val="24"/>
                <w:szCs w:val="24"/>
                <w:u w:val="single"/>
              </w:rPr>
            </w:pPr>
            <w:r>
              <w:rPr>
                <w:rFonts w:hint="eastAsia" w:ascii="微软雅黑" w:hAnsi="微软雅黑" w:eastAsia="微软雅黑" w:cs="Calibri"/>
                <w:b/>
                <w:kern w:val="0"/>
                <w:sz w:val="24"/>
                <w:szCs w:val="24"/>
              </w:rPr>
              <w:t xml:space="preserve">                          </w:t>
            </w:r>
            <w:r>
              <w:rPr>
                <w:rFonts w:hint="eastAsia" w:ascii="微软雅黑" w:hAnsi="微软雅黑" w:eastAsia="微软雅黑" w:cs="Calibri"/>
                <w:b/>
                <w:kern w:val="0"/>
                <w:sz w:val="24"/>
                <w:szCs w:val="24"/>
                <w:u w:val="single"/>
              </w:rPr>
              <w:t xml:space="preserve">                           </w:t>
            </w:r>
          </w:p>
          <w:p>
            <w:pPr>
              <w:widowControl/>
              <w:spacing w:line="360" w:lineRule="atLeast"/>
              <w:jc w:val="center"/>
              <w:rPr>
                <w:rFonts w:ascii="微软雅黑" w:hAnsi="微软雅黑" w:eastAsia="微软雅黑" w:cs="Calibri"/>
                <w:b/>
                <w:kern w:val="0"/>
                <w:sz w:val="24"/>
                <w:szCs w:val="24"/>
              </w:rPr>
            </w:pPr>
          </w:p>
          <w:p>
            <w:pPr>
              <w:widowControl/>
              <w:spacing w:line="360" w:lineRule="atLeast"/>
              <w:jc w:val="center"/>
              <w:rPr>
                <w:rFonts w:ascii="微软雅黑" w:hAnsi="微软雅黑" w:eastAsia="微软雅黑" w:cs="Calibri"/>
                <w:b/>
                <w:kern w:val="0"/>
                <w:sz w:val="24"/>
                <w:szCs w:val="24"/>
              </w:rPr>
            </w:pPr>
          </w:p>
        </w:tc>
      </w:tr>
    </w:tbl>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甲方：广州市城壹房地产顾问有限公司</w:t>
      </w:r>
      <w:r>
        <w:rPr>
          <w:rFonts w:hint="eastAsia" w:ascii="微软雅黑" w:hAnsi="微软雅黑" w:eastAsia="微软雅黑" w:cs="Times New Roman"/>
          <w:b/>
          <w:bCs/>
          <w:szCs w:val="21"/>
        </w:rPr>
        <w:tab/>
      </w:r>
      <w:r>
        <w:rPr>
          <w:rFonts w:hint="eastAsia" w:ascii="微软雅黑" w:hAnsi="微软雅黑" w:eastAsia="微软雅黑" w:cs="Times New Roman"/>
          <w:b/>
          <w:bCs/>
          <w:szCs w:val="21"/>
        </w:rPr>
        <w:tab/>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地址：广州市越秀区流花路117号16号馆2楼</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法定代表人：林海</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r>
        <w:rPr>
          <w:rFonts w:ascii="微软雅黑" w:hAnsi="微软雅黑" w:eastAsia="微软雅黑" w:cs="Times New Roman"/>
          <w:b/>
          <w:bCs/>
          <w:szCs w:val="21"/>
        </w:rPr>
        <w:t>020-26080188</w:t>
      </w:r>
    </w:p>
    <w:p>
      <w:pPr>
        <w:spacing w:line="360" w:lineRule="auto"/>
        <w:rPr>
          <w:rFonts w:ascii="微软雅黑" w:hAnsi="微软雅黑" w:eastAsia="微软雅黑" w:cs="Times New Roman"/>
          <w:b/>
          <w:bCs/>
          <w:szCs w:val="21"/>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乙方：</w:t>
      </w:r>
      <w:r>
        <w:rPr>
          <w:rFonts w:hint="eastAsia" w:ascii="微软雅黑" w:hAnsi="微软雅黑" w:eastAsia="微软雅黑" w:cs="Times New Roman"/>
          <w:b/>
          <w:bCs/>
          <w:szCs w:val="21"/>
        </w:rPr>
        <w:tab/>
      </w:r>
      <w:r>
        <w:rPr>
          <w:rFonts w:hint="eastAsia" w:ascii="微软雅黑" w:hAnsi="微软雅黑" w:eastAsia="微软雅黑" w:cs="Times New Roman"/>
          <w:b/>
          <w:bCs/>
          <w:szCs w:val="21"/>
        </w:rPr>
        <w:tab/>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法定代表人：</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p>
    <w:p>
      <w:pPr>
        <w:spacing w:line="360" w:lineRule="auto"/>
        <w:rPr>
          <w:rFonts w:ascii="微软雅黑" w:hAnsi="微软雅黑" w:eastAsia="微软雅黑" w:cs="Times New Roman"/>
          <w:b/>
          <w:bCs/>
          <w:szCs w:val="21"/>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 xml:space="preserve">甲、乙双方本着互惠互利、公平合理的原则，经友好协商，现就甲方番禺谢村片区策划方案项目（以下简称“本项目”）与乙方签订如下条款： </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szCs w:val="21"/>
        </w:rPr>
        <w:t>第一条、合作项目名称及地址</w:t>
      </w:r>
    </w:p>
    <w:p>
      <w:pPr>
        <w:numPr>
          <w:ilvl w:val="0"/>
          <w:numId w:val="6"/>
        </w:num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项目名称：番禺谢村片区项目策划方案（简称“本项目”）</w:t>
      </w:r>
    </w:p>
    <w:p>
      <w:pPr>
        <w:numPr>
          <w:ilvl w:val="0"/>
          <w:numId w:val="6"/>
        </w:num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项目地址：番禺谢村片区</w:t>
      </w:r>
    </w:p>
    <w:p>
      <w:pPr>
        <w:snapToGrid w:val="0"/>
        <w:spacing w:line="360" w:lineRule="auto"/>
        <w:jc w:val="left"/>
        <w:rPr>
          <w:rFonts w:ascii="微软雅黑" w:hAnsi="微软雅黑" w:eastAsia="微软雅黑" w:cs="Times New Roman"/>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bCs/>
          <w:szCs w:val="21"/>
        </w:rPr>
        <w:t>第二条、</w:t>
      </w:r>
      <w:r>
        <w:rPr>
          <w:rFonts w:hint="eastAsia" w:ascii="微软雅黑" w:hAnsi="微软雅黑" w:eastAsia="微软雅黑" w:cs="Times New Roman"/>
          <w:b/>
          <w:szCs w:val="21"/>
        </w:rPr>
        <w:t>合作内容及双方负责事项</w:t>
      </w:r>
    </w:p>
    <w:p>
      <w:pPr>
        <w:snapToGrid w:val="0"/>
        <w:spacing w:line="360" w:lineRule="auto"/>
        <w:ind w:left="567" w:hanging="567" w:hangingChars="270"/>
        <w:rPr>
          <w:rFonts w:ascii="微软雅黑" w:hAnsi="微软雅黑" w:eastAsia="微软雅黑" w:cs="Times New Roman"/>
          <w:bCs/>
          <w:szCs w:val="21"/>
        </w:rPr>
      </w:pPr>
      <w:r>
        <w:rPr>
          <w:rFonts w:hint="eastAsia" w:ascii="微软雅黑" w:hAnsi="微软雅黑" w:eastAsia="微软雅黑" w:cs="Times New Roman"/>
          <w:bCs/>
          <w:szCs w:val="21"/>
        </w:rPr>
        <w:t>2.1  本次合作内容针对番禺谢村片区项目，项目具体内容包括但不限于项目本体分析、项目所在区域产业规划解读、项目所在区域物业市场研判、对标案例参考、项目整体定位、分业态产品定位等一系列策划服务；</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具体内容详见附件1。</w:t>
      </w:r>
    </w:p>
    <w:p>
      <w:pPr>
        <w:snapToGrid w:val="0"/>
        <w:spacing w:line="360" w:lineRule="auto"/>
        <w:rPr>
          <w:rFonts w:ascii="微软雅黑" w:hAnsi="微软雅黑" w:eastAsia="微软雅黑" w:cs="Times New Roman"/>
          <w:bCs/>
          <w:szCs w:val="21"/>
        </w:rPr>
      </w:pPr>
      <w:r>
        <w:rPr>
          <w:rFonts w:hint="eastAsia" w:ascii="微软雅黑" w:hAnsi="微软雅黑" w:eastAsia="微软雅黑" w:cs="Times New Roman"/>
          <w:bCs/>
          <w:szCs w:val="21"/>
        </w:rPr>
        <w:t>2.2  甲方工作内容：</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1)项目背景解读</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根据实际情况，对项目地块指标、区位条件、交通情况、周边配套等进行分析说明。</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2)项目所在区域公寓、住宅市场研判</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根据市场调研，对项目所在区域公寓住宅市场进行分析说明。</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3)住宅、公寓产品定位</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根据市场情况及项目现状，对项目住宅公寓进行产品定位，包括开发定位、产品建议、价格建议等内容。</w:t>
      </w:r>
    </w:p>
    <w:p>
      <w:pPr>
        <w:snapToGrid w:val="0"/>
        <w:spacing w:line="360" w:lineRule="auto"/>
        <w:rPr>
          <w:rFonts w:ascii="微软雅黑" w:hAnsi="微软雅黑" w:eastAsia="微软雅黑" w:cs="Times New Roman"/>
          <w:bCs/>
          <w:szCs w:val="21"/>
        </w:rPr>
      </w:pPr>
      <w:r>
        <w:rPr>
          <w:rFonts w:hint="eastAsia" w:ascii="微软雅黑" w:hAnsi="微软雅黑" w:eastAsia="微软雅黑" w:cs="Times New Roman"/>
          <w:bCs/>
          <w:szCs w:val="21"/>
        </w:rPr>
        <w:t>2.3   乙方工作内容：</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1)项目所在区域产业规划解读</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分析项目区域上位规划，综合研判项目区域产业发展机会。</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2)项目所在区域写字楼、零售与酒店市场分析</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根据市场调研，对项目所在区域写字楼、零售与酒店市场进行分析说明。</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3)对标案例参考</w:t>
      </w:r>
    </w:p>
    <w:p>
      <w:pPr>
        <w:snapToGrid w:val="0"/>
        <w:spacing w:line="360" w:lineRule="auto"/>
        <w:ind w:left="567"/>
        <w:rPr>
          <w:rFonts w:ascii="微软雅黑" w:hAnsi="微软雅黑" w:eastAsia="微软雅黑" w:cs="Times New Roman"/>
          <w:bCs/>
          <w:szCs w:val="21"/>
        </w:rPr>
      </w:pPr>
      <w:r>
        <w:rPr>
          <w:rFonts w:ascii="微软雅黑" w:hAnsi="微软雅黑" w:eastAsia="微软雅黑" w:cs="Times New Roman"/>
          <w:bCs/>
          <w:szCs w:val="21"/>
        </w:rPr>
        <w:t>借鉴国内外成功案例，</w:t>
      </w:r>
      <w:r>
        <w:rPr>
          <w:rFonts w:hint="eastAsia" w:ascii="微软雅黑" w:hAnsi="微软雅黑" w:eastAsia="微软雅黑" w:cs="Times New Roman"/>
          <w:bCs/>
          <w:szCs w:val="21"/>
        </w:rPr>
        <w:t>进行</w:t>
      </w:r>
      <w:r>
        <w:rPr>
          <w:rFonts w:ascii="微软雅黑" w:hAnsi="微软雅黑" w:eastAsia="微软雅黑" w:cs="Times New Roman"/>
          <w:bCs/>
          <w:szCs w:val="21"/>
        </w:rPr>
        <w:t>参考案例的成功点及经验借鉴建议</w:t>
      </w:r>
      <w:r>
        <w:rPr>
          <w:rFonts w:hint="eastAsia" w:ascii="微软雅黑" w:hAnsi="微软雅黑" w:eastAsia="微软雅黑" w:cs="Times New Roman"/>
          <w:bCs/>
          <w:szCs w:val="21"/>
        </w:rPr>
        <w:t>。</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4)项目整体定位</w:t>
      </w:r>
    </w:p>
    <w:p>
      <w:pPr>
        <w:snapToGrid w:val="0"/>
        <w:spacing w:line="360" w:lineRule="auto"/>
        <w:ind w:left="567"/>
        <w:rPr>
          <w:rFonts w:ascii="微软雅黑" w:hAnsi="微软雅黑" w:eastAsia="微软雅黑" w:cs="Times New Roman"/>
          <w:bCs/>
          <w:szCs w:val="21"/>
        </w:rPr>
      </w:pPr>
      <w:r>
        <w:rPr>
          <w:rFonts w:ascii="微软雅黑" w:hAnsi="微软雅黑" w:eastAsia="微软雅黑" w:cs="Times New Roman"/>
          <w:bCs/>
          <w:szCs w:val="21"/>
        </w:rPr>
        <w:t>总结区域发展、市场供求、地块条件等部分内容，分析各物业开发的可行性</w:t>
      </w:r>
      <w:r>
        <w:rPr>
          <w:rFonts w:hint="eastAsia" w:ascii="微软雅黑" w:hAnsi="微软雅黑" w:eastAsia="微软雅黑" w:cs="Times New Roman"/>
          <w:bCs/>
          <w:szCs w:val="21"/>
        </w:rPr>
        <w:t>，给出项目整体定位</w:t>
      </w:r>
      <w:r>
        <w:rPr>
          <w:rFonts w:ascii="微软雅黑" w:hAnsi="微软雅黑" w:eastAsia="微软雅黑" w:cs="Times New Roman"/>
          <w:bCs/>
          <w:szCs w:val="21"/>
        </w:rPr>
        <w:t>，并在选择物业类型的基础上给出最佳开发规模和配比的建议。</w:t>
      </w:r>
    </w:p>
    <w:p>
      <w:pPr>
        <w:numPr>
          <w:ilvl w:val="255"/>
          <w:numId w:val="0"/>
        </w:num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5)写字楼、零售与酒店产品定位</w:t>
      </w:r>
    </w:p>
    <w:p>
      <w:pPr>
        <w:snapToGrid w:val="0"/>
        <w:spacing w:line="360" w:lineRule="auto"/>
        <w:ind w:left="567"/>
        <w:rPr>
          <w:rFonts w:ascii="微软雅黑" w:hAnsi="微软雅黑" w:eastAsia="微软雅黑" w:cs="Times New Roman"/>
          <w:bCs/>
          <w:szCs w:val="21"/>
        </w:rPr>
      </w:pPr>
      <w:r>
        <w:rPr>
          <w:rFonts w:hint="eastAsia" w:ascii="微软雅黑" w:hAnsi="微软雅黑" w:eastAsia="微软雅黑" w:cs="Times New Roman"/>
          <w:bCs/>
          <w:szCs w:val="21"/>
        </w:rPr>
        <w:t>根据市场情况及项目现状，对项目写字楼、零售与酒店进行产品定位，包括开发定位、产品分析、价格建议等内容。</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 xml:space="preserve">2.4 </w:t>
      </w:r>
      <w:r>
        <w:rPr>
          <w:rFonts w:hint="eastAsia" w:ascii="微软雅黑" w:hAnsi="微软雅黑" w:eastAsia="微软雅黑" w:cs="Times New Roman"/>
          <w:szCs w:val="21"/>
          <w:lang w:val="en-US" w:eastAsia="zh-CN"/>
        </w:rPr>
        <w:t>双</w:t>
      </w:r>
      <w:r>
        <w:rPr>
          <w:rFonts w:hint="eastAsia" w:ascii="微软雅黑" w:hAnsi="微软雅黑" w:eastAsia="微软雅黑" w:cs="Times New Roman"/>
          <w:szCs w:val="21"/>
        </w:rPr>
        <w:t>方</w:t>
      </w:r>
      <w:r>
        <w:rPr>
          <w:rFonts w:hint="eastAsia" w:ascii="微软雅黑" w:hAnsi="微软雅黑" w:eastAsia="微软雅黑" w:cs="Times New Roman"/>
          <w:szCs w:val="21"/>
          <w:lang w:val="en-US" w:eastAsia="zh-CN"/>
        </w:rPr>
        <w:t>共同</w:t>
      </w:r>
      <w:r>
        <w:rPr>
          <w:rFonts w:hint="eastAsia" w:ascii="微软雅黑" w:hAnsi="微软雅黑" w:eastAsia="微软雅黑" w:cs="Times New Roman"/>
          <w:szCs w:val="21"/>
        </w:rPr>
        <w:t>负责就本项目撰写报告，双方应配合对该项目报告的修改、汇报工作；</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2.5  甲乙双方共同合作完成报告的定稿与提交，甲方负责与业主方进行沟通、协调，并向乙方及时、准确传达业主方的要求。</w:t>
      </w:r>
    </w:p>
    <w:p>
      <w:pPr>
        <w:snapToGrid w:val="0"/>
        <w:spacing w:line="360" w:lineRule="auto"/>
        <w:ind w:left="1890" w:hanging="1891" w:hangingChars="900"/>
        <w:rPr>
          <w:rFonts w:ascii="微软雅黑" w:hAnsi="微软雅黑" w:eastAsia="微软雅黑" w:cs="Times New Roman"/>
          <w:b/>
          <w:bCs/>
          <w:szCs w:val="21"/>
        </w:rPr>
      </w:pPr>
      <w:r>
        <w:rPr>
          <w:rFonts w:hint="eastAsia" w:ascii="微软雅黑" w:hAnsi="微软雅黑" w:eastAsia="微软雅黑" w:cs="Times New Roman"/>
          <w:b/>
          <w:bCs/>
          <w:szCs w:val="21"/>
        </w:rPr>
        <w:t>第三条、双方的权利和义务</w:t>
      </w: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szCs w:val="21"/>
        </w:rPr>
        <w:t>（一）甲方权利义务</w:t>
      </w:r>
      <w:r>
        <w:rPr>
          <w:rFonts w:hint="eastAsia" w:ascii="微软雅黑" w:hAnsi="微软雅黑" w:eastAsia="微软雅黑" w:cs="Times New Roman"/>
          <w:szCs w:val="21"/>
        </w:rPr>
        <w:t>：</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w:t>
      </w:r>
      <w:r>
        <w:rPr>
          <w:rFonts w:ascii="微软雅黑" w:hAnsi="微软雅黑" w:eastAsia="微软雅黑" w:cs="Times New Roman"/>
          <w:szCs w:val="21"/>
        </w:rPr>
        <w:t xml:space="preserve">.1  </w:t>
      </w:r>
      <w:r>
        <w:rPr>
          <w:rFonts w:hint="eastAsia" w:ascii="微软雅黑" w:hAnsi="微软雅黑" w:eastAsia="微软雅黑" w:cs="Times New Roman"/>
          <w:szCs w:val="21"/>
        </w:rPr>
        <w:t>甲方有权要求乙方按照本合同约定完成合作内容；</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甲方应保证其所提供的项目相关信息准确、有效。由于甲方提供的相关资料及文件存在错误的，相应后果由甲方承担，甲方仍应按照本合同约定按时足额向乙方支付服务费用；</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甲方有权向乙方了解本合同项目的工作进展情况和相关内容或提出相关建议，如甲方提出修改超出合同约定的项目服务范围或明显增加乙方服务工作量的，乙方有权另行收取修改费用，修改费用</w:t>
      </w:r>
      <w:r>
        <w:rPr>
          <w:rFonts w:hint="eastAsia" w:ascii="微软雅黑" w:hAnsi="微软雅黑" w:eastAsia="微软雅黑" w:cs="Times New Roman"/>
          <w:szCs w:val="21"/>
          <w:lang w:eastAsia="zh-CN"/>
        </w:rPr>
        <w:t>，</w:t>
      </w:r>
      <w:r>
        <w:rPr>
          <w:rFonts w:hint="eastAsia" w:ascii="微软雅黑" w:hAnsi="微软雅黑" w:eastAsia="微软雅黑" w:cs="Times New Roman"/>
          <w:szCs w:val="21"/>
        </w:rPr>
        <w:t>甲、乙双方另行协商并签署补充协议；</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甲方有义务协助并积极配合乙方进行相关工作，在收到乙方提出的意见时，在规定的合理时间内提出反馈及要求；</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3.6  </w:t>
      </w:r>
      <w:r>
        <w:rPr>
          <w:rFonts w:hint="eastAsia" w:ascii="微软雅黑" w:hAnsi="微软雅黑" w:eastAsia="微软雅黑" w:cs="Times New Roman"/>
          <w:szCs w:val="21"/>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 xml:space="preserve">3.7  </w:t>
      </w:r>
      <w:r>
        <w:rPr>
          <w:rFonts w:hint="eastAsia" w:ascii="微软雅黑" w:hAnsi="微软雅黑" w:eastAsia="微软雅黑" w:cs="Times New Roman"/>
          <w:szCs w:val="21"/>
        </w:rPr>
        <w:t>本合同约定的其他权利和义务。</w:t>
      </w:r>
    </w:p>
    <w:p>
      <w:pPr>
        <w:snapToGrid w:val="0"/>
        <w:spacing w:line="360" w:lineRule="auto"/>
        <w:ind w:left="1890" w:hanging="1891" w:hangingChars="900"/>
        <w:rPr>
          <w:rFonts w:ascii="微软雅黑" w:hAnsi="微软雅黑" w:eastAsia="微软雅黑" w:cs="Times New Roman"/>
          <w:b/>
          <w:szCs w:val="21"/>
        </w:rPr>
      </w:pPr>
      <w:r>
        <w:rPr>
          <w:rFonts w:hint="eastAsia" w:ascii="微软雅黑" w:hAnsi="微软雅黑" w:eastAsia="微软雅黑" w:cs="Times New Roman"/>
          <w:b/>
          <w:szCs w:val="21"/>
        </w:rPr>
        <w:t>（二）乙方权利义务: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3.8  </w:t>
      </w:r>
      <w:r>
        <w:rPr>
          <w:rFonts w:hint="eastAsia" w:ascii="微软雅黑" w:hAnsi="微软雅黑" w:eastAsia="微软雅黑" w:cs="Times New Roman"/>
          <w:szCs w:val="21"/>
        </w:rPr>
        <w:t>按本合同约定期限和要求完成项目报告；报告及建议方案名称仅为参考，以经甲方认可的具体报告及建议方案内容为准；</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3.9  </w:t>
      </w:r>
      <w:r>
        <w:rPr>
          <w:rFonts w:hint="eastAsia" w:ascii="微软雅黑" w:hAnsi="微软雅黑" w:eastAsia="微软雅黑" w:cs="Times New Roman"/>
          <w:szCs w:val="21"/>
        </w:rPr>
        <w:t>按本合同约定取得合作报酬，甲方未按期足额向乙方支付服务费用的，乙方有权暂停本合同项下服务而不承担任何违约责任，且乙方有权按本合同约定要求甲方承担逾期付款的违约责任。；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3.10</w:t>
      </w:r>
      <w:r>
        <w:rPr>
          <w:rFonts w:hint="eastAsia" w:ascii="微软雅黑" w:hAnsi="微软雅黑" w:eastAsia="微软雅黑" w:cs="Times New Roman"/>
          <w:szCs w:val="21"/>
        </w:rPr>
        <w:t xml:space="preserve">  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rPr>
        <w:tab/>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3.11 </w:t>
      </w:r>
      <w:r>
        <w:rPr>
          <w:rFonts w:hint="eastAsia" w:ascii="微软雅黑" w:hAnsi="微软雅黑" w:eastAsia="微软雅黑" w:cs="Times New Roman"/>
          <w:szCs w:val="21"/>
        </w:rPr>
        <w:t xml:space="preserve"> 乙方应遵守本合同约定开展工作，乙方受托权限仅限于完成研究目的所必须</w:t>
      </w:r>
    </w:p>
    <w:p>
      <w:pPr>
        <w:snapToGrid w:val="0"/>
        <w:spacing w:line="360" w:lineRule="auto"/>
        <w:ind w:left="1092" w:leftChars="250" w:hanging="567" w:hangingChars="270"/>
        <w:rPr>
          <w:rFonts w:ascii="微软雅黑" w:hAnsi="微软雅黑" w:eastAsia="微软雅黑" w:cs="Times New Roman"/>
          <w:szCs w:val="21"/>
        </w:rPr>
      </w:pPr>
      <w:r>
        <w:rPr>
          <w:rFonts w:hint="eastAsia" w:ascii="微软雅黑" w:hAnsi="微软雅黑" w:eastAsia="微软雅黑" w:cs="Times New Roman"/>
          <w:szCs w:val="21"/>
        </w:rPr>
        <w:t>的相关活动，不得以甲方名义从事其它任何民事经济行为；</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3.12 </w:t>
      </w:r>
      <w:r>
        <w:rPr>
          <w:rFonts w:hint="eastAsia" w:ascii="微软雅黑" w:hAnsi="微软雅黑" w:eastAsia="微软雅黑" w:cs="Times New Roman"/>
          <w:szCs w:val="21"/>
        </w:rPr>
        <w:t xml:space="preserve"> 乙方在履行本合同的过程中，必须保守所接触或了解到的甲方的商业秘密，未经甲方书面同意不得向第三方披露；</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3.13 </w:t>
      </w:r>
      <w:r>
        <w:rPr>
          <w:rFonts w:hint="eastAsia" w:ascii="微软雅黑" w:hAnsi="微软雅黑" w:eastAsia="微软雅黑" w:cs="Times New Roman"/>
          <w:szCs w:val="21"/>
        </w:rPr>
        <w:t xml:space="preserve"> 乙方组建专业团队，提供本合同约定的各阶段服务。如在服务过程中，乙方的服务达不到合同的约定标准，甲方有权要求乙方更换具体经办人员。</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3.14  乙方提交的工作成果仅供甲方参考，对甲方使用该报告（包括但不限于向相关业主提交报告、甲方或业主依据报告内容作出判断、决定等任何性质的商业行为）产生之后果不承担任何责任。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15  本合同约定的其它权利和义务。</w:t>
      </w:r>
    </w:p>
    <w:p>
      <w:pPr>
        <w:snapToGrid w:val="0"/>
        <w:spacing w:line="360" w:lineRule="auto"/>
        <w:ind w:left="567" w:hanging="567" w:hangingChars="270"/>
        <w:rPr>
          <w:rFonts w:ascii="微软雅黑" w:hAnsi="微软雅黑" w:eastAsia="微软雅黑" w:cs="Times New Roman"/>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第四条、合作项目相关成果提交期限:</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w:t>
      </w:r>
      <w:r>
        <w:rPr>
          <w:rFonts w:hint="eastAsia" w:ascii="微软雅黑" w:hAnsi="微软雅黑" w:eastAsia="微软雅黑" w:cs="Times New Roman"/>
          <w:szCs w:val="21"/>
        </w:rPr>
        <w:t>1  自乙方收到甲方提供的完整资料之日起20个工作日内，乙方应向甲方提交报告初稿，甲方应在收到报告初稿后</w:t>
      </w:r>
      <w:r>
        <w:rPr>
          <w:rFonts w:ascii="微软雅黑" w:hAnsi="微软雅黑" w:eastAsia="微软雅黑" w:cs="Times New Roman"/>
          <w:szCs w:val="21"/>
        </w:rPr>
        <w:t>1</w:t>
      </w:r>
      <w:r>
        <w:rPr>
          <w:rFonts w:hint="eastAsia" w:ascii="微软雅黑" w:hAnsi="微软雅黑" w:eastAsia="微软雅黑" w:cs="Times New Roman"/>
          <w:szCs w:val="21"/>
        </w:rPr>
        <w:t>0个工作日内向乙方提出书面反馈意见，逾期视为甲方认可乙方报告内容；自乙方收到甲方提供的完整资料之日起40个工作日内，乙方应向甲方提交报告终稿，甲方应在收到报告终稿后</w:t>
      </w:r>
      <w:r>
        <w:rPr>
          <w:rFonts w:ascii="微软雅黑" w:hAnsi="微软雅黑" w:eastAsia="微软雅黑" w:cs="Times New Roman"/>
          <w:szCs w:val="21"/>
        </w:rPr>
        <w:t>1</w:t>
      </w:r>
      <w:r>
        <w:rPr>
          <w:rFonts w:hint="eastAsia" w:ascii="微软雅黑" w:hAnsi="微软雅黑" w:eastAsia="微软雅黑" w:cs="Times New Roman"/>
          <w:szCs w:val="21"/>
        </w:rPr>
        <w:t>0个工作日内向乙方提出书面反馈意见，逾期视为甲方认可乙方报告内容。</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.2</w:t>
      </w:r>
      <w:r>
        <w:rPr>
          <w:rFonts w:hint="eastAsia" w:ascii="微软雅黑" w:hAnsi="微软雅黑" w:eastAsia="微软雅黑" w:cs="Times New Roman"/>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ascii="微软雅黑" w:hAnsi="微软雅黑" w:eastAsia="微软雅黑" w:cs="Times New Roman"/>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第五条、服务费用及支付方式：</w:t>
      </w:r>
    </w:p>
    <w:p>
      <w:pPr>
        <w:spacing w:line="360" w:lineRule="auto"/>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服务费用金额</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甲乙双方同意，本合同服务服务费用为：</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本项目服务费含税总金额为人民币</w:t>
      </w:r>
      <w:r>
        <w:rPr>
          <w:rFonts w:hint="eastAsia" w:ascii="微软雅黑" w:hAnsi="微软雅黑" w:eastAsia="微软雅黑" w:cs="Times New Roman"/>
          <w:szCs w:val="21"/>
          <w:u w:val="single"/>
        </w:rPr>
        <w:t xml:space="preserve">     元</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元整，税率为：    %</w:t>
      </w:r>
      <w:r>
        <w:rPr>
          <w:rFonts w:hint="eastAsia" w:ascii="微软雅黑" w:hAnsi="微软雅黑" w:eastAsia="微软雅黑" w:cs="Times New Roman"/>
          <w:szCs w:val="21"/>
        </w:rPr>
        <w:t>），其中不含税金额为人民币</w:t>
      </w:r>
      <w:r>
        <w:rPr>
          <w:rFonts w:hint="eastAsia" w:ascii="微软雅黑" w:hAnsi="微软雅黑" w:eastAsia="微软雅黑" w:cs="Times New Roman"/>
          <w:szCs w:val="21"/>
          <w:u w:val="single"/>
        </w:rPr>
        <w:t xml:space="preserve">      元</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），增值税为人民币</w:t>
      </w:r>
      <w:r>
        <w:rPr>
          <w:rFonts w:hint="eastAsia" w:ascii="微软雅黑" w:hAnsi="微软雅黑" w:eastAsia="微软雅黑" w:cs="Times New Roman"/>
          <w:szCs w:val="21"/>
          <w:u w:val="single"/>
        </w:rPr>
        <w:t xml:space="preserve">     元</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b/>
          <w:szCs w:val="21"/>
        </w:rPr>
      </w:pPr>
      <w:r>
        <w:rPr>
          <w:rFonts w:hint="eastAsia" w:ascii="微软雅黑" w:hAnsi="微软雅黑" w:eastAsia="微软雅黑" w:cs="Times New Roman"/>
          <w:szCs w:val="21"/>
        </w:rPr>
        <w:t>支付方式</w:t>
      </w:r>
      <w:r>
        <w:rPr>
          <w:rFonts w:hint="eastAsia" w:ascii="微软雅黑" w:hAnsi="微软雅黑" w:eastAsia="微软雅黑" w:cs="Times New Roman"/>
          <w:b/>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合同签订之日起十个工作日内，甲方向乙方支付合同含税总费用的20%，即人民币</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元（大写：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乙方提交项目策划方案初稿的十个工作日内, 甲方向乙方支付合同含税总费用的20%，即人民币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元（大写：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乙方完成项目策划方案初次专题汇报的十个工作日内, 甲方向乙方支付合同含税总费用的40%，即人民币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元（大写：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乙方提交项目策划方案终稿并经甲方验收合格后的十个工作日内, 甲方向乙方支付合同含税总费用的20%，即人民币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元（大写：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 xml:space="preserve">5.2  </w:t>
      </w:r>
      <w:r>
        <w:rPr>
          <w:rFonts w:hint="eastAsia" w:ascii="微软雅黑" w:hAnsi="微软雅黑" w:eastAsia="微软雅黑" w:cs="Times New Roman"/>
          <w:szCs w:val="21"/>
        </w:rPr>
        <w:t>甲方向乙方支付上述款项前，乙方应向甲方提供相应金额合法有效的增值税专用发票；在未收到前述发票前，甲方有权拒绝付款，并不承担任何违约责任。如因国家政策或法律变化导致税种和/或税率发生变化，则双方将就因此引起的价格变化另行进行协商。</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甲方应当将以上费用存入乙方指定账户，乙方因履行本合同所收取的服务费用而产生的税费由乙方自行支付。</w:t>
      </w:r>
    </w:p>
    <w:tbl>
      <w:tblPr>
        <w:tblStyle w:val="6"/>
        <w:tblW w:w="8108" w:type="dxa"/>
        <w:tblInd w:w="534" w:type="dxa"/>
        <w:tblLayout w:type="fixed"/>
        <w:tblCellMar>
          <w:top w:w="0" w:type="dxa"/>
          <w:left w:w="108" w:type="dxa"/>
          <w:bottom w:w="0" w:type="dxa"/>
          <w:right w:w="108" w:type="dxa"/>
        </w:tblCellMar>
      </w:tblPr>
      <w:tblGrid>
        <w:gridCol w:w="8108"/>
      </w:tblGrid>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银行名称：</w:t>
            </w:r>
          </w:p>
        </w:tc>
      </w:tr>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 xml:space="preserve">开户名称：  </w:t>
            </w:r>
          </w:p>
        </w:tc>
      </w:tr>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帐  号：</w:t>
            </w:r>
          </w:p>
        </w:tc>
      </w:tr>
    </w:tbl>
    <w:p>
      <w:pPr>
        <w:snapToGrid w:val="0"/>
        <w:spacing w:line="360" w:lineRule="auto"/>
        <w:rPr>
          <w:rFonts w:ascii="微软雅黑" w:hAnsi="微软雅黑" w:eastAsia="微软雅黑" w:cs="Times New Roman"/>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第六条、工作成果提交方式</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6</w:t>
      </w:r>
      <w:r>
        <w:rPr>
          <w:rFonts w:ascii="微软雅黑" w:hAnsi="微软雅黑" w:eastAsia="微软雅黑" w:cs="Times New Roman"/>
          <w:szCs w:val="21"/>
        </w:rPr>
        <w:t>.1</w:t>
      </w:r>
      <w:r>
        <w:rPr>
          <w:rFonts w:ascii="微软雅黑" w:hAnsi="微软雅黑" w:eastAsia="微软雅黑" w:cs="Times New Roman"/>
          <w:szCs w:val="21"/>
        </w:rPr>
        <w:tab/>
      </w:r>
      <w:r>
        <w:rPr>
          <w:rFonts w:hint="eastAsia" w:ascii="微软雅黑" w:hAnsi="微软雅黑" w:eastAsia="微软雅黑" w:cs="Times New Roman"/>
          <w:szCs w:val="21"/>
        </w:rPr>
        <w:t>报告以中文撰写，报告初稿、修改稿及终稿以PPT及PDF电子文件形式发送至甲方指定联络人电子邮箱，且终稿提交时提供盖有乙方的公章的书面文本至甲方指定联系人。</w:t>
      </w:r>
    </w:p>
    <w:p>
      <w:pPr>
        <w:snapToGrid w:val="0"/>
        <w:spacing w:line="360"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第七条、知识产权</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 xml:space="preserve">7.1  </w:t>
      </w:r>
      <w:r>
        <w:rPr>
          <w:rFonts w:hint="eastAsia" w:ascii="微软雅黑" w:hAnsi="微软雅黑" w:eastAsia="微软雅黑" w:cs="Arial"/>
          <w:szCs w:val="21"/>
        </w:rPr>
        <w:t>本合同项下乙方完成的以任何载体所体现的工作报告、图表的知识产权在甲方完全履行本协议下的付款义务后属于甲方所有</w:t>
      </w:r>
      <w:r>
        <w:rPr>
          <w:rFonts w:hint="eastAsia" w:ascii="微软雅黑" w:hAnsi="微软雅黑" w:eastAsia="微软雅黑" w:cs="Arial"/>
          <w:szCs w:val="21"/>
          <w:lang w:eastAsia="zh-CN"/>
        </w:rPr>
        <w:t>，</w:t>
      </w:r>
      <w:r>
        <w:rPr>
          <w:rFonts w:hint="eastAsia" w:ascii="微软雅黑" w:hAnsi="微软雅黑" w:eastAsia="微软雅黑" w:cs="Arial"/>
          <w:szCs w:val="21"/>
        </w:rPr>
        <w:t>乙方享有署名权，并可利用本合同项下成果文件作为设计参考资料及商业宣传案例。</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第八条、保密条款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 xml:space="preserve">.1  </w:t>
      </w:r>
      <w:r>
        <w:rPr>
          <w:rFonts w:hint="eastAsia" w:ascii="微软雅黑" w:hAnsi="微软雅黑" w:eastAsia="微软雅黑" w:cs="Arial"/>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本条在本合同终止或解除后仍继续有效。</w:t>
      </w:r>
    </w:p>
    <w:p>
      <w:pPr>
        <w:snapToGrid w:val="0"/>
        <w:spacing w:line="276"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第九条 适用法律和争议解决</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9</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本合同适用中华人民共和国法律，因履行本协议所需，不包括中国香港、澳门及台湾</w:t>
      </w:r>
      <w:r>
        <w:rPr>
          <w:rFonts w:hint="eastAsia" w:ascii="微软雅黑" w:hAnsi="微软雅黑" w:eastAsia="微软雅黑" w:cs="Times New Roman"/>
          <w:szCs w:val="21"/>
          <w:lang w:val="en-US" w:eastAsia="zh-CN"/>
        </w:rPr>
        <w:tab/>
      </w:r>
      <w:r>
        <w:rPr>
          <w:rFonts w:hint="eastAsia" w:ascii="微软雅黑" w:hAnsi="微软雅黑" w:eastAsia="微软雅黑" w:cs="Times New Roman"/>
          <w:szCs w:val="21"/>
        </w:rPr>
        <w:t>地区的法律。</w:t>
      </w:r>
    </w:p>
    <w:p>
      <w:pPr>
        <w:snapToGrid w:val="0"/>
        <w:spacing w:line="360" w:lineRule="auto"/>
        <w:ind w:left="567" w:hanging="567" w:hangingChars="270"/>
        <w:rPr>
          <w:rFonts w:ascii="微软雅黑" w:hAnsi="微软雅黑" w:eastAsia="微软雅黑" w:cs="Arial"/>
          <w:bCs/>
          <w:szCs w:val="21"/>
        </w:rPr>
      </w:pPr>
      <w:r>
        <w:rPr>
          <w:rFonts w:ascii="微软雅黑" w:hAnsi="微软雅黑" w:eastAsia="微软雅黑" w:cs="Times New Roman"/>
          <w:szCs w:val="21"/>
        </w:rPr>
        <w:t>9.</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双方如对本合同内容和其履行有任何争议，双方应友好协商解决，如协商后不能解决的，任何一方均有权在</w:t>
      </w:r>
      <w:r>
        <w:rPr>
          <w:rFonts w:hint="eastAsia" w:ascii="微软雅黑" w:hAnsi="微软雅黑" w:eastAsia="微软雅黑" w:cs="Times New Roman"/>
          <w:szCs w:val="21"/>
          <w:lang w:val="en-US" w:eastAsia="zh-CN"/>
        </w:rPr>
        <w:t>甲方</w:t>
      </w:r>
      <w:r>
        <w:rPr>
          <w:rFonts w:hint="eastAsia" w:ascii="微软雅黑" w:hAnsi="微软雅黑" w:eastAsia="微软雅黑" w:cs="Times New Roman"/>
          <w:szCs w:val="21"/>
        </w:rPr>
        <w:t>所在地人民法院提起诉讼。败诉方应承担为解决本争议而产生的所有费用，包括但不限于诉讼费、律师费、鉴定费、评估费、差旅费及进行财产保全、执行产生的保全费、担保费等。</w:t>
      </w: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第十条、违约责任：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10</w:t>
      </w:r>
      <w:r>
        <w:rPr>
          <w:rFonts w:ascii="微软雅黑" w:hAnsi="微软雅黑" w:eastAsia="微软雅黑" w:cs="Arial"/>
          <w:szCs w:val="21"/>
        </w:rPr>
        <w:t>.</w:t>
      </w:r>
      <w:r>
        <w:rPr>
          <w:rFonts w:hint="eastAsia" w:ascii="微软雅黑" w:hAnsi="微软雅黑" w:eastAsia="微软雅黑" w:cs="Arial"/>
          <w:szCs w:val="21"/>
        </w:rPr>
        <w:t>1</w:t>
      </w:r>
      <w:r>
        <w:rPr>
          <w:rFonts w:ascii="微软雅黑" w:hAnsi="微软雅黑" w:eastAsia="微软雅黑" w:cs="Arial"/>
          <w:szCs w:val="21"/>
        </w:rPr>
        <w:t xml:space="preserve"> </w:t>
      </w:r>
      <w:r>
        <w:rPr>
          <w:rFonts w:hint="eastAsia" w:ascii="微软雅黑" w:hAnsi="微软雅黑" w:eastAsia="微软雅黑" w:cs="Arial"/>
          <w:szCs w:val="21"/>
        </w:rPr>
        <w:t>乙方必须按双方约定的时间、内容、方式完成本合同约定服务内容。任何一方如需变更服务内容，必须经过对方的书面同意。经过甲方认可的报告内容，应视为乙方已按约定完成相应服务并经甲方验收合格，甲方不应再以报告内容不符合合同约定为由抗辩。</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乙方必须按照合同约定的时限按时完成服务，否则，每推迟一天，乙方应当按照相应阶段服务费用的千分之三向甲方支付违约金，逾期超过10天的，甲方有权解除合同，乙方应退回未完成部分的服务费，并应按已收取的服务费用的10%向甲方支付违约金。但因甲方原因或其他非乙方原因造成乙方未能按约定时限完成服务的，乙方不承担违约责任。</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Times New Roman"/>
          <w:szCs w:val="21"/>
        </w:rPr>
        <w:t>10.</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甲方必须按照合同约定的时限向乙方付款，否则</w:t>
      </w:r>
      <w:r>
        <w:rPr>
          <w:rFonts w:hint="eastAsia" w:ascii="微软雅黑" w:hAnsi="微软雅黑" w:eastAsia="微软雅黑" w:cs="Arial"/>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w:t>
      </w:r>
      <w:r>
        <w:rPr>
          <w:rFonts w:hint="eastAsia" w:ascii="微软雅黑" w:hAnsi="微软雅黑" w:eastAsia="微软雅黑" w:cs="Arial"/>
          <w:szCs w:val="21"/>
          <w:lang w:val="en-US" w:eastAsia="zh-CN"/>
        </w:rPr>
        <w:t>相应阶段</w:t>
      </w:r>
      <w:r>
        <w:rPr>
          <w:rFonts w:hint="eastAsia" w:ascii="微软雅黑" w:hAnsi="微软雅黑" w:eastAsia="微软雅黑" w:cs="Arial"/>
          <w:szCs w:val="21"/>
        </w:rPr>
        <w:t>服务费用的10%向乙方支付违约金。</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4</w:t>
      </w:r>
      <w:r>
        <w:rPr>
          <w:rFonts w:ascii="微软雅黑" w:hAnsi="微软雅黑" w:eastAsia="微软雅黑" w:cs="Arial"/>
          <w:szCs w:val="21"/>
        </w:rPr>
        <w:t xml:space="preserve"> </w:t>
      </w:r>
      <w:r>
        <w:rPr>
          <w:rFonts w:hint="eastAsia" w:ascii="微软雅黑" w:hAnsi="微软雅黑" w:eastAsia="微软雅黑" w:cs="Arial"/>
          <w:szCs w:val="21"/>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乙方在本协议下承担的违约金、赔偿金等，不应超过乙方在本合同下实际收取的服务费总额。</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第十一条、如发生下列情况之一，本合同可以变更或终止：</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（一）双方协商一致，同意变更或终止合同；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（二）一方在约定期限内没有履行合同，在被允许延迟履行的合理期限内仍未履行合同，则另一方有权以书面通知的方式单方解除合同；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（三）一方违反合同的约定，在被书面通知更正其违约行为的期限内仍未更正，则另一方有权以书面通知的方式单方解除合同；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（四）如遇不可抗力事件，且不可抗力持续超过60日的，则任何一方可书面通知对方解除合同；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（六）法律规定的其它情形。</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第十二条、不可抗力：</w:t>
      </w:r>
    </w:p>
    <w:p>
      <w:pPr>
        <w:snapToGrid w:val="0"/>
        <w:spacing w:line="360" w:lineRule="auto"/>
        <w:ind w:left="708" w:hanging="707" w:hangingChars="337"/>
        <w:rPr>
          <w:rFonts w:ascii="微软雅黑" w:hAnsi="微软雅黑" w:eastAsia="微软雅黑" w:cs="Arial"/>
          <w:szCs w:val="21"/>
        </w:rPr>
      </w:pPr>
      <w:r>
        <w:rPr>
          <w:rFonts w:hint="eastAsia" w:ascii="微软雅黑" w:hAnsi="微软雅黑" w:eastAsia="微软雅黑" w:cs="Arial"/>
          <w:szCs w:val="21"/>
        </w:rPr>
        <w:t>12.1  本合同有效期内，因水灾、地震、海啸等自然灾害、疫情、火灾、战争、罢工或国家法律政策变更等人力不可抗拒的因素，造成本合同及其补充协议内容部分或全部不能履行，双方应协商延期履行或解除合同。</w:t>
      </w:r>
    </w:p>
    <w:p>
      <w:pPr>
        <w:widowControl/>
        <w:jc w:val="left"/>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第十三条、通知和联系人</w:t>
      </w:r>
    </w:p>
    <w:p>
      <w:pPr>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13.1 甲、乙方发送通知的方法，如用传真、电子邮件通知时，凡涉及双方权利、义务的，应随之以书面形式通知</w:t>
      </w:r>
      <w:r>
        <w:rPr>
          <w:rFonts w:hint="eastAsia" w:ascii="微软雅黑" w:hAnsi="微软雅黑" w:eastAsia="微软雅黑" w:cs="Times New Roman"/>
          <w:szCs w:val="21"/>
        </w:rPr>
        <w:t>，</w:t>
      </w:r>
      <w:r>
        <w:rPr>
          <w:rFonts w:hint="eastAsia" w:ascii="微软雅黑" w:hAnsi="微软雅黑" w:eastAsia="微软雅黑" w:cs="Arial"/>
          <w:szCs w:val="21"/>
        </w:rPr>
        <w:t>并以双方盖章并由法定代表人或指定的授权委托人签字确认为准。合同中所列的联系方式即为双方有效的联系方式，如若更改，须及时用书面通知对方。凡按各方最后地址等联系方式送达的通知或其他有关文件均视为有效送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13.2 以专人递送时，签收日即为有效送达日，以邮寄方式递送时，以投递之日起第三日视为已送达。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13.3  甲方指定联系人：【   】；联系方式：【   】；电子邮件：【   】。</w:t>
      </w:r>
    </w:p>
    <w:p>
      <w:pPr>
        <w:snapToGrid w:val="0"/>
        <w:spacing w:line="360" w:lineRule="auto"/>
        <w:ind w:firstLine="630" w:firstLineChars="300"/>
        <w:rPr>
          <w:rFonts w:ascii="微软雅黑" w:hAnsi="微软雅黑" w:eastAsia="微软雅黑" w:cs="Arial"/>
          <w:szCs w:val="21"/>
        </w:rPr>
      </w:pPr>
      <w:r>
        <w:rPr>
          <w:rFonts w:hint="eastAsia" w:ascii="微软雅黑" w:hAnsi="微软雅黑" w:eastAsia="微软雅黑" w:cs="Arial"/>
          <w:szCs w:val="21"/>
        </w:rPr>
        <w:t>乙方指定联系人：【   】；联系方式：【   】；电子邮件：【   】。</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13.4  甲方指定送达地址：</w:t>
      </w:r>
    </w:p>
    <w:p>
      <w:pPr>
        <w:snapToGrid w:val="0"/>
        <w:spacing w:line="360" w:lineRule="auto"/>
        <w:ind w:firstLine="638" w:firstLineChars="304"/>
        <w:rPr>
          <w:rFonts w:ascii="微软雅黑" w:hAnsi="微软雅黑" w:eastAsia="微软雅黑" w:cs="Arial"/>
          <w:szCs w:val="21"/>
        </w:rPr>
      </w:pPr>
      <w:r>
        <w:rPr>
          <w:rFonts w:hint="eastAsia" w:ascii="微软雅黑" w:hAnsi="微软雅黑" w:eastAsia="微软雅黑" w:cs="Arial"/>
          <w:szCs w:val="21"/>
        </w:rPr>
        <w:t>乙方指定送达地址：</w:t>
      </w:r>
    </w:p>
    <w:p>
      <w:pPr>
        <w:snapToGrid w:val="0"/>
        <w:spacing w:line="360" w:lineRule="auto"/>
        <w:rPr>
          <w:rFonts w:ascii="微软雅黑" w:hAnsi="微软雅黑" w:eastAsia="微软雅黑" w:cs="Arial"/>
          <w:b/>
          <w:bCs/>
          <w:szCs w:val="21"/>
        </w:rPr>
      </w:pPr>
    </w:p>
    <w:p>
      <w:pPr>
        <w:numPr>
          <w:ilvl w:val="0"/>
          <w:numId w:val="7"/>
        </w:numPr>
        <w:snapToGrid w:val="0"/>
        <w:spacing w:line="360" w:lineRule="auto"/>
        <w:rPr>
          <w:rFonts w:hint="eastAsia" w:ascii="微软雅黑" w:hAnsi="微软雅黑" w:eastAsia="微软雅黑" w:cs="Arial"/>
          <w:bCs/>
          <w:szCs w:val="21"/>
        </w:rPr>
      </w:pPr>
      <w:r>
        <w:rPr>
          <w:rFonts w:hint="eastAsia" w:ascii="微软雅黑" w:hAnsi="微软雅黑" w:eastAsia="微软雅黑" w:cs="Arial"/>
          <w:bCs/>
          <w:szCs w:val="21"/>
        </w:rPr>
        <w:t>本合同自甲乙双方法定代表人或授权代表签字或签章，并加盖公章后生效。本合同</w:t>
      </w:r>
      <w:bookmarkStart w:id="9" w:name="_Hlk45533647"/>
      <w:r>
        <w:rPr>
          <w:rFonts w:hint="eastAsia" w:ascii="微软雅黑" w:hAnsi="微软雅黑" w:eastAsia="微软雅黑" w:cs="Arial"/>
          <w:bCs/>
          <w:szCs w:val="21"/>
        </w:rPr>
        <w:t>一式肆份，双方各执贰份</w:t>
      </w:r>
      <w:bookmarkEnd w:id="9"/>
      <w:r>
        <w:rPr>
          <w:rFonts w:hint="eastAsia" w:ascii="微软雅黑" w:hAnsi="微软雅黑" w:eastAsia="微软雅黑" w:cs="Arial"/>
          <w:bCs/>
          <w:szCs w:val="21"/>
        </w:rPr>
        <w:t>，具有同等法律效力。</w:t>
      </w:r>
    </w:p>
    <w:p>
      <w:pPr>
        <w:numPr>
          <w:ilvl w:val="0"/>
          <w:numId w:val="0"/>
        </w:numPr>
        <w:snapToGrid w:val="0"/>
        <w:spacing w:line="360" w:lineRule="auto"/>
        <w:rPr>
          <w:rFonts w:hint="eastAsia" w:ascii="微软雅黑" w:hAnsi="微软雅黑" w:eastAsia="微软雅黑" w:cs="Arial"/>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（以下无正文，为本合同签署栏）</w:t>
      </w:r>
    </w:p>
    <w:p>
      <w:pPr>
        <w:snapToGrid w:val="0"/>
        <w:spacing w:line="360" w:lineRule="auto"/>
        <w:rPr>
          <w:rFonts w:ascii="微软雅黑" w:hAnsi="微软雅黑" w:eastAsia="微软雅黑" w:cs="Arial"/>
          <w:bCs/>
          <w:szCs w:val="21"/>
        </w:rPr>
      </w:pP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甲方（盖章）：广州市城壹房地产顾问有限公司</w:t>
      </w: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法定代表人或授权代表（签字或签章）：</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乙方（盖章）：</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法定代表人或授权代表（签字或签章）：</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 w:val="22"/>
        </w:rPr>
      </w:pPr>
      <w:r>
        <w:rPr>
          <w:rFonts w:hint="eastAsia" w:ascii="微软雅黑" w:hAnsi="微软雅黑" w:eastAsia="微软雅黑" w:cs="Arial"/>
          <w:b/>
          <w:bCs/>
          <w:sz w:val="22"/>
        </w:rPr>
        <w:t xml:space="preserve">附件1 番禺谢村片区项目 工作大纲 </w:t>
      </w:r>
    </w:p>
    <w:p>
      <w:pPr>
        <w:widowControl/>
        <w:spacing w:before="240"/>
        <w:ind w:firstLine="560" w:firstLineChars="200"/>
        <w:jc w:val="left"/>
        <w:rPr>
          <w:rFonts w:ascii="微软雅黑" w:hAnsi="微软雅黑" w:eastAsia="微软雅黑" w:cs="微软雅黑"/>
          <w:b/>
          <w:bCs/>
          <w:sz w:val="28"/>
          <w:szCs w:val="24"/>
        </w:rPr>
      </w:pPr>
      <w:r>
        <w:rPr>
          <w:rFonts w:hint="eastAsia" w:ascii="微软雅黑" w:hAnsi="微软雅黑" w:eastAsia="微软雅黑" w:cs="微软雅黑"/>
          <w:b/>
          <w:bCs/>
          <w:sz w:val="28"/>
          <w:szCs w:val="24"/>
        </w:rPr>
        <w:t>本项目为针对番禺谢村片区进行拿地策划服务，服务内容具体包含如下，标蓝部分拟由招选的乙方单位完成，并配合甲方进行方案汇报。</w:t>
      </w:r>
    </w:p>
    <w:p>
      <w:pPr>
        <w:widowControl/>
        <w:spacing w:before="240"/>
        <w:jc w:val="left"/>
        <w:rPr>
          <w:rFonts w:ascii="微软雅黑" w:hAnsi="微软雅黑" w:eastAsia="微软雅黑" w:cs="微软雅黑"/>
          <w:b/>
          <w:bCs/>
          <w:sz w:val="28"/>
          <w:szCs w:val="24"/>
        </w:rPr>
      </w:pPr>
      <w:r>
        <w:rPr>
          <w:rFonts w:hint="eastAsia" w:ascii="微软雅黑" w:hAnsi="微软雅黑" w:eastAsia="微软雅黑" w:cs="微软雅黑"/>
          <w:b/>
          <w:bCs/>
          <w:sz w:val="28"/>
          <w:szCs w:val="24"/>
        </w:rPr>
        <w:t>工作大纲：</w:t>
      </w:r>
    </w:p>
    <w:p>
      <w:pPr>
        <w:widowControl/>
        <w:spacing w:before="240"/>
        <w:jc w:val="left"/>
        <w:rPr>
          <w:rFonts w:ascii="微软雅黑" w:hAnsi="微软雅黑" w:eastAsia="微软雅黑" w:cs="微软雅黑"/>
          <w:b/>
          <w:bCs/>
          <w:sz w:val="24"/>
        </w:rPr>
      </w:pPr>
      <w:r>
        <w:rPr>
          <w:rFonts w:hint="eastAsia" w:ascii="微软雅黑" w:hAnsi="微软雅黑" w:eastAsia="微软雅黑" w:cs="微软雅黑"/>
          <w:b/>
          <w:bCs/>
          <w:sz w:val="24"/>
        </w:rPr>
        <w:t>Part1  项目背景解读</w:t>
      </w:r>
    </w:p>
    <w:p>
      <w:pPr>
        <w:pStyle w:val="16"/>
        <w:numPr>
          <w:ilvl w:val="0"/>
          <w:numId w:val="8"/>
        </w:numPr>
        <w:spacing w:before="240"/>
        <w:ind w:firstLineChars="0"/>
        <w:rPr>
          <w:rFonts w:ascii="微软雅黑" w:hAnsi="微软雅黑" w:eastAsia="微软雅黑" w:cs="微软雅黑"/>
          <w:bCs/>
        </w:rPr>
      </w:pPr>
      <w:r>
        <w:rPr>
          <w:rFonts w:hint="eastAsia" w:ascii="微软雅黑" w:hAnsi="微软雅黑" w:eastAsia="微软雅黑" w:cs="微软雅黑"/>
          <w:bCs/>
        </w:rPr>
        <w:t>地块基本指标</w:t>
      </w:r>
    </w:p>
    <w:p>
      <w:pPr>
        <w:pStyle w:val="16"/>
        <w:numPr>
          <w:ilvl w:val="0"/>
          <w:numId w:val="8"/>
        </w:numPr>
        <w:spacing w:before="240"/>
        <w:ind w:firstLineChars="0"/>
        <w:rPr>
          <w:rFonts w:ascii="微软雅黑" w:hAnsi="微软雅黑" w:eastAsia="微软雅黑" w:cs="微软雅黑"/>
          <w:bCs/>
        </w:rPr>
      </w:pPr>
      <w:r>
        <w:rPr>
          <w:rFonts w:hint="eastAsia" w:ascii="微软雅黑" w:hAnsi="微软雅黑" w:eastAsia="微软雅黑" w:cs="微软雅黑"/>
          <w:bCs/>
        </w:rPr>
        <w:t>地块交通情况</w:t>
      </w:r>
    </w:p>
    <w:p>
      <w:pPr>
        <w:pStyle w:val="16"/>
        <w:numPr>
          <w:ilvl w:val="0"/>
          <w:numId w:val="8"/>
        </w:numPr>
        <w:spacing w:before="240"/>
        <w:ind w:firstLineChars="0"/>
        <w:rPr>
          <w:rFonts w:ascii="微软雅黑" w:hAnsi="微软雅黑" w:eastAsia="微软雅黑" w:cs="微软雅黑"/>
          <w:bCs/>
        </w:rPr>
      </w:pPr>
      <w:r>
        <w:rPr>
          <w:rFonts w:hint="eastAsia" w:ascii="微软雅黑" w:hAnsi="微软雅黑" w:eastAsia="微软雅黑" w:cs="微软雅黑"/>
          <w:bCs/>
        </w:rPr>
        <w:t>地块周边配套情况</w:t>
      </w:r>
    </w:p>
    <w:p>
      <w:pPr>
        <w:pStyle w:val="16"/>
        <w:numPr>
          <w:ilvl w:val="0"/>
          <w:numId w:val="8"/>
        </w:numPr>
        <w:spacing w:before="240"/>
        <w:ind w:firstLineChars="0"/>
        <w:rPr>
          <w:rFonts w:ascii="微软雅黑" w:hAnsi="微软雅黑" w:eastAsia="微软雅黑" w:cs="微软雅黑"/>
          <w:bCs/>
        </w:rPr>
      </w:pPr>
      <w:r>
        <w:rPr>
          <w:rFonts w:hint="eastAsia" w:ascii="微软雅黑" w:hAnsi="微软雅黑" w:eastAsia="微软雅黑" w:cs="微软雅黑"/>
          <w:bCs/>
        </w:rPr>
        <w:t>地块四至</w:t>
      </w:r>
    </w:p>
    <w:p>
      <w:pPr>
        <w:pStyle w:val="16"/>
        <w:numPr>
          <w:ilvl w:val="0"/>
          <w:numId w:val="8"/>
        </w:numPr>
        <w:spacing w:before="240" w:line="360" w:lineRule="auto"/>
        <w:ind w:firstLineChars="0"/>
        <w:rPr>
          <w:rFonts w:ascii="微软雅黑" w:hAnsi="微软雅黑" w:eastAsia="微软雅黑" w:cs="微软雅黑"/>
          <w:bCs/>
        </w:rPr>
      </w:pPr>
      <w:r>
        <w:rPr>
          <w:rFonts w:hint="eastAsia" w:ascii="微软雅黑" w:hAnsi="微软雅黑" w:eastAsia="微软雅黑" w:cs="微软雅黑"/>
          <w:bCs/>
        </w:rPr>
        <w:t>地块</w:t>
      </w:r>
      <w:r>
        <w:rPr>
          <w:rFonts w:ascii="微软雅黑" w:hAnsi="微软雅黑" w:eastAsia="微软雅黑" w:cs="微软雅黑"/>
          <w:bCs/>
        </w:rPr>
        <w:t>SWOT</w:t>
      </w:r>
      <w:r>
        <w:rPr>
          <w:rFonts w:hint="eastAsia" w:ascii="微软雅黑" w:hAnsi="微软雅黑" w:eastAsia="微软雅黑" w:cs="微软雅黑"/>
          <w:bCs/>
        </w:rPr>
        <w:t>分析</w:t>
      </w:r>
    </w:p>
    <w:p>
      <w:pPr>
        <w:widowControl/>
        <w:spacing w:before="240"/>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Part2  项目所在区域产业规划解读</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2.1 城市层级总体定位规划</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粤港澳大湾区规划</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广州十四五规划</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项目所在区域产业规划及前景分析</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2.2项目所在区域发展现状分析</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番禺区十四五规划</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广州南站商务区相关规划</w:t>
      </w:r>
    </w:p>
    <w:p>
      <w:pPr>
        <w:pStyle w:val="16"/>
        <w:numPr>
          <w:ilvl w:val="0"/>
          <w:numId w:val="9"/>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广州南站板块产业进驻现状</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2.3</w:t>
      </w:r>
      <w:r>
        <w:rPr>
          <w:rFonts w:ascii="微软雅黑" w:hAnsi="微软雅黑" w:eastAsia="微软雅黑" w:cs="微软雅黑"/>
          <w:bCs/>
          <w:color w:val="0000FF"/>
          <w:sz w:val="24"/>
        </w:rPr>
        <w:t xml:space="preserve"> </w:t>
      </w:r>
      <w:r>
        <w:rPr>
          <w:rFonts w:hint="eastAsia" w:ascii="微软雅黑" w:hAnsi="微软雅黑" w:eastAsia="微软雅黑" w:cs="微软雅黑"/>
          <w:bCs/>
          <w:color w:val="0000FF"/>
          <w:sz w:val="24"/>
        </w:rPr>
        <w:t>南站片区未来重点交通规划</w:t>
      </w:r>
    </w:p>
    <w:p>
      <w:pPr>
        <w:widowControl/>
        <w:spacing w:before="240"/>
        <w:jc w:val="left"/>
        <w:rPr>
          <w:rFonts w:ascii="微软雅黑" w:hAnsi="微软雅黑" w:eastAsia="微软雅黑" w:cs="微软雅黑"/>
          <w:b/>
          <w:bCs/>
          <w:sz w:val="24"/>
        </w:rPr>
      </w:pPr>
    </w:p>
    <w:p>
      <w:pPr>
        <w:widowControl/>
        <w:spacing w:before="240"/>
        <w:jc w:val="left"/>
        <w:rPr>
          <w:rFonts w:ascii="微软雅黑" w:hAnsi="微软雅黑" w:eastAsia="微软雅黑" w:cs="微软雅黑"/>
          <w:b/>
          <w:bCs/>
          <w:sz w:val="24"/>
        </w:rPr>
      </w:pPr>
      <w:r>
        <w:rPr>
          <w:rFonts w:hint="eastAsia" w:ascii="微软雅黑" w:hAnsi="微软雅黑" w:eastAsia="微软雅黑" w:cs="微软雅黑"/>
          <w:b/>
          <w:bCs/>
          <w:sz w:val="24"/>
        </w:rPr>
        <w:t>Part3  项目所在区域物业市场研判</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3.1区域写字楼市场分析及研判</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番禺区写字楼产业发展规律研究</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番禺区写字楼市场发展情况调研</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广州南站板块写字楼产业机遇分析</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广州南站板块写字楼市场发展情况</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项目所在区域写字楼发展机会研判</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3.2</w:t>
      </w:r>
      <w:r>
        <w:rPr>
          <w:rFonts w:ascii="微软雅黑" w:hAnsi="微软雅黑" w:eastAsia="微软雅黑" w:cs="微软雅黑"/>
          <w:bCs/>
          <w:color w:val="0000FF"/>
          <w:sz w:val="24"/>
        </w:rPr>
        <w:t xml:space="preserve">  </w:t>
      </w:r>
      <w:r>
        <w:rPr>
          <w:rFonts w:hint="eastAsia" w:ascii="微软雅黑" w:hAnsi="微软雅黑" w:eastAsia="微软雅黑" w:cs="微软雅黑"/>
          <w:bCs/>
          <w:color w:val="0000FF"/>
          <w:sz w:val="24"/>
        </w:rPr>
        <w:t>区域零售市场分析及研判</w:t>
      </w:r>
    </w:p>
    <w:p>
      <w:pPr>
        <w:pStyle w:val="16"/>
        <w:numPr>
          <w:ilvl w:val="0"/>
          <w:numId w:val="10"/>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区域零售商业市场现状市场分析</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区域零售商业市场未来需求分析</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本项目开发零售商业物业机会研判</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3.3</w:t>
      </w:r>
      <w:r>
        <w:rPr>
          <w:rFonts w:ascii="微软雅黑" w:hAnsi="微软雅黑" w:eastAsia="微软雅黑" w:cs="微软雅黑"/>
          <w:bCs/>
          <w:color w:val="0000FF"/>
          <w:sz w:val="24"/>
        </w:rPr>
        <w:t xml:space="preserve">  </w:t>
      </w:r>
      <w:r>
        <w:rPr>
          <w:rFonts w:hint="eastAsia" w:ascii="微软雅黑" w:hAnsi="微软雅黑" w:eastAsia="微软雅黑" w:cs="微软雅黑"/>
          <w:bCs/>
          <w:color w:val="0000FF"/>
          <w:sz w:val="24"/>
        </w:rPr>
        <w:t>区域酒店业态市场分析及研判</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广州南站片区酒店市场整体现状</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本项目未来酒店业态发展机会研判</w:t>
      </w:r>
    </w:p>
    <w:p>
      <w:pPr>
        <w:widowControl/>
        <w:spacing w:before="240"/>
        <w:jc w:val="left"/>
        <w:rPr>
          <w:rFonts w:ascii="微软雅黑" w:hAnsi="微软雅黑" w:eastAsia="微软雅黑" w:cs="微软雅黑"/>
          <w:bCs/>
          <w:sz w:val="24"/>
        </w:rPr>
      </w:pPr>
      <w:r>
        <w:rPr>
          <w:rFonts w:hint="eastAsia" w:ascii="微软雅黑" w:hAnsi="微软雅黑" w:eastAsia="微软雅黑" w:cs="微软雅黑"/>
          <w:bCs/>
          <w:sz w:val="24"/>
        </w:rPr>
        <w:t>3.4</w:t>
      </w:r>
      <w:r>
        <w:rPr>
          <w:rFonts w:ascii="微软雅黑" w:hAnsi="微软雅黑" w:eastAsia="微软雅黑" w:cs="微软雅黑"/>
          <w:bCs/>
          <w:sz w:val="24"/>
        </w:rPr>
        <w:t xml:space="preserve">  </w:t>
      </w:r>
      <w:r>
        <w:rPr>
          <w:rFonts w:hint="eastAsia" w:ascii="微软雅黑" w:hAnsi="微软雅黑" w:eastAsia="微软雅黑" w:cs="微软雅黑"/>
          <w:bCs/>
          <w:sz w:val="24"/>
        </w:rPr>
        <w:t>区域公寓市场分析及研判</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番禺区、广州南站板块公寓市场供应分析</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番禺区、广州南站板块区域公寓市场需求分析</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本项目开发公寓物业机会研判及风险点分析</w:t>
      </w:r>
    </w:p>
    <w:p>
      <w:pPr>
        <w:widowControl/>
        <w:spacing w:before="240"/>
        <w:jc w:val="left"/>
        <w:rPr>
          <w:rFonts w:ascii="微软雅黑" w:hAnsi="微软雅黑" w:eastAsia="微软雅黑" w:cs="微软雅黑"/>
          <w:bCs/>
          <w:sz w:val="24"/>
        </w:rPr>
      </w:pPr>
      <w:r>
        <w:rPr>
          <w:rFonts w:ascii="微软雅黑" w:hAnsi="微软雅黑" w:eastAsia="微软雅黑" w:cs="微软雅黑"/>
          <w:bCs/>
          <w:sz w:val="24"/>
        </w:rPr>
        <w:t xml:space="preserve">3.5 </w:t>
      </w:r>
      <w:r>
        <w:rPr>
          <w:rFonts w:hint="eastAsia" w:ascii="微软雅黑" w:hAnsi="微软雅黑" w:eastAsia="微软雅黑" w:cs="微软雅黑"/>
          <w:bCs/>
          <w:sz w:val="24"/>
        </w:rPr>
        <w:t>住宅市场调研</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番禺区一手住宅市场供求情况</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番禺区各板块一手住宅供求情况</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项目周边一二手住宅供求情况</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周边竞品分析</w:t>
      </w:r>
    </w:p>
    <w:p>
      <w:pPr>
        <w:pStyle w:val="16"/>
        <w:numPr>
          <w:ilvl w:val="0"/>
          <w:numId w:val="12"/>
        </w:numPr>
        <w:spacing w:before="240"/>
        <w:ind w:firstLineChars="0"/>
        <w:rPr>
          <w:rFonts w:ascii="微软雅黑" w:hAnsi="微软雅黑" w:eastAsia="微软雅黑" w:cs="微软雅黑"/>
          <w:bCs/>
          <w:szCs w:val="32"/>
        </w:rPr>
      </w:pPr>
      <w:r>
        <w:rPr>
          <w:rFonts w:hint="eastAsia" w:ascii="微软雅黑" w:hAnsi="微软雅黑" w:eastAsia="微软雅黑" w:cs="微软雅黑"/>
          <w:bCs/>
          <w:szCs w:val="32"/>
        </w:rPr>
        <w:t>广州城投领南府</w:t>
      </w:r>
    </w:p>
    <w:p>
      <w:pPr>
        <w:pStyle w:val="16"/>
        <w:numPr>
          <w:ilvl w:val="0"/>
          <w:numId w:val="12"/>
        </w:numPr>
        <w:spacing w:before="240"/>
        <w:ind w:firstLineChars="0"/>
        <w:rPr>
          <w:rFonts w:ascii="微软雅黑" w:hAnsi="微软雅黑" w:eastAsia="微软雅黑" w:cs="微软雅黑"/>
          <w:bCs/>
          <w:szCs w:val="32"/>
        </w:rPr>
      </w:pPr>
      <w:r>
        <w:rPr>
          <w:rFonts w:hint="eastAsia" w:ascii="微软雅黑" w:hAnsi="微软雅黑" w:eastAsia="微软雅黑" w:cs="微软雅黑"/>
          <w:bCs/>
          <w:szCs w:val="32"/>
        </w:rPr>
        <w:t>越秀星寰TOD</w:t>
      </w:r>
    </w:p>
    <w:p>
      <w:pPr>
        <w:spacing w:before="240"/>
        <w:rPr>
          <w:rFonts w:ascii="微软雅黑" w:hAnsi="微软雅黑" w:eastAsia="微软雅黑" w:cs="微软雅黑"/>
          <w:b/>
          <w:bCs/>
          <w:color w:val="0000FF"/>
          <w:sz w:val="24"/>
          <w:szCs w:val="32"/>
        </w:rPr>
      </w:pPr>
      <w:r>
        <w:rPr>
          <w:rFonts w:hint="eastAsia" w:ascii="微软雅黑" w:hAnsi="微软雅黑" w:eastAsia="微软雅黑" w:cs="微软雅黑"/>
          <w:b/>
          <w:bCs/>
          <w:color w:val="0000FF"/>
          <w:sz w:val="24"/>
          <w:szCs w:val="32"/>
        </w:rPr>
        <w:t>Part4  对标案例参考</w:t>
      </w:r>
    </w:p>
    <w:p>
      <w:pPr>
        <w:pStyle w:val="16"/>
        <w:numPr>
          <w:ilvl w:val="0"/>
          <w:numId w:val="13"/>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szCs w:val="32"/>
        </w:rPr>
        <w:t>借鉴国内外成功案例，参考案例的成功点及经验借鉴</w:t>
      </w:r>
      <w:r>
        <w:rPr>
          <w:rFonts w:hint="eastAsia" w:ascii="微软雅黑" w:hAnsi="微软雅黑" w:eastAsia="微软雅黑" w:cs="微软雅黑"/>
          <w:bCs/>
          <w:color w:val="0000FF"/>
        </w:rPr>
        <w:t>建议。</w:t>
      </w:r>
    </w:p>
    <w:p>
      <w:pPr>
        <w:pStyle w:val="16"/>
        <w:numPr>
          <w:ilvl w:val="0"/>
          <w:numId w:val="13"/>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借鉴点包含：区域规划、项目定位、产业发展、物业载体开发等。</w:t>
      </w:r>
    </w:p>
    <w:p>
      <w:pPr>
        <w:pStyle w:val="16"/>
        <w:numPr>
          <w:ilvl w:val="0"/>
          <w:numId w:val="13"/>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案例包含高铁枢纽站点周边区域开发、大型文体设施周边产业及物业发展等项目（如上海虹桥高铁枢纽周边片区开发）</w:t>
      </w:r>
    </w:p>
    <w:p>
      <w:pPr>
        <w:widowControl/>
        <w:spacing w:before="240"/>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Part</w:t>
      </w:r>
      <w:r>
        <w:rPr>
          <w:rFonts w:ascii="微软雅黑" w:hAnsi="微软雅黑" w:eastAsia="微软雅黑" w:cs="微软雅黑"/>
          <w:b/>
          <w:bCs/>
          <w:color w:val="0000FF"/>
          <w:sz w:val="24"/>
        </w:rPr>
        <w:t>5</w:t>
      </w:r>
      <w:r>
        <w:rPr>
          <w:rFonts w:hint="eastAsia" w:ascii="微软雅黑" w:hAnsi="微软雅黑" w:eastAsia="微软雅黑" w:cs="微软雅黑"/>
          <w:b/>
          <w:bCs/>
          <w:color w:val="0000FF"/>
          <w:sz w:val="24"/>
        </w:rPr>
        <w:t xml:space="preserve">  项目整体定位</w:t>
      </w:r>
    </w:p>
    <w:p>
      <w:pPr>
        <w:widowControl/>
        <w:spacing w:before="240"/>
        <w:jc w:val="left"/>
        <w:rPr>
          <w:rFonts w:ascii="微软雅黑" w:hAnsi="微软雅黑" w:eastAsia="微软雅黑" w:cs="微软雅黑"/>
          <w:bCs/>
          <w:color w:val="0000FF"/>
          <w:sz w:val="24"/>
        </w:rPr>
      </w:pPr>
      <w:r>
        <w:rPr>
          <w:rFonts w:ascii="微软雅黑" w:hAnsi="微软雅黑" w:eastAsia="微软雅黑" w:cs="微软雅黑"/>
          <w:bCs/>
          <w:color w:val="0000FF"/>
          <w:sz w:val="24"/>
        </w:rPr>
        <w:t>5</w:t>
      </w:r>
      <w:r>
        <w:rPr>
          <w:rFonts w:hint="eastAsia" w:ascii="微软雅黑" w:hAnsi="微软雅黑" w:eastAsia="微软雅黑" w:cs="微软雅黑"/>
          <w:bCs/>
          <w:color w:val="0000FF"/>
          <w:sz w:val="24"/>
        </w:rPr>
        <w:t>.</w:t>
      </w:r>
      <w:r>
        <w:rPr>
          <w:rFonts w:ascii="微软雅黑" w:hAnsi="微软雅黑" w:eastAsia="微软雅黑" w:cs="微软雅黑"/>
          <w:bCs/>
          <w:color w:val="0000FF"/>
          <w:sz w:val="24"/>
        </w:rPr>
        <w:t>1</w:t>
      </w:r>
      <w:r>
        <w:rPr>
          <w:rFonts w:hint="eastAsia" w:ascii="微软雅黑" w:hAnsi="微软雅黑" w:eastAsia="微软雅黑" w:cs="微软雅黑"/>
          <w:bCs/>
          <w:color w:val="0000FF"/>
          <w:sz w:val="24"/>
        </w:rPr>
        <w:t>项目整体定位</w:t>
      </w:r>
    </w:p>
    <w:p>
      <w:pPr>
        <w:pStyle w:val="16"/>
        <w:numPr>
          <w:ilvl w:val="0"/>
          <w:numId w:val="14"/>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站位城市高度，立足项目所在区域区域规划，提出本项目的市场占位及总体定位方向</w:t>
      </w:r>
    </w:p>
    <w:p>
      <w:pPr>
        <w:widowControl/>
        <w:spacing w:before="240"/>
        <w:jc w:val="left"/>
        <w:rPr>
          <w:rFonts w:ascii="微软雅黑" w:hAnsi="微软雅黑" w:eastAsia="微软雅黑" w:cs="微软雅黑"/>
          <w:bCs/>
          <w:color w:val="0000FF"/>
          <w:sz w:val="24"/>
        </w:rPr>
      </w:pPr>
      <w:r>
        <w:rPr>
          <w:rFonts w:ascii="微软雅黑" w:hAnsi="微软雅黑" w:eastAsia="微软雅黑" w:cs="微软雅黑"/>
          <w:bCs/>
          <w:color w:val="0000FF"/>
          <w:sz w:val="24"/>
        </w:rPr>
        <w:t>5</w:t>
      </w:r>
      <w:r>
        <w:rPr>
          <w:rFonts w:hint="eastAsia" w:ascii="微软雅黑" w:hAnsi="微软雅黑" w:eastAsia="微软雅黑" w:cs="微软雅黑"/>
          <w:bCs/>
          <w:color w:val="0000FF"/>
          <w:sz w:val="24"/>
        </w:rPr>
        <w:t>.2</w:t>
      </w:r>
      <w:r>
        <w:rPr>
          <w:rFonts w:ascii="微软雅黑" w:hAnsi="微软雅黑" w:eastAsia="微软雅黑" w:cs="微软雅黑"/>
          <w:bCs/>
          <w:color w:val="0000FF"/>
          <w:sz w:val="24"/>
        </w:rPr>
        <w:t xml:space="preserve"> </w:t>
      </w:r>
      <w:r>
        <w:rPr>
          <w:rFonts w:hint="eastAsia" w:ascii="微软雅黑" w:hAnsi="微软雅黑" w:eastAsia="微软雅黑" w:cs="微软雅黑"/>
          <w:bCs/>
          <w:color w:val="0000FF"/>
          <w:sz w:val="24"/>
        </w:rPr>
        <w:t>项目功能物业发展定位</w:t>
      </w:r>
    </w:p>
    <w:p>
      <w:pPr>
        <w:spacing w:before="240" w:after="240"/>
        <w:ind w:right="206" w:firstLine="440"/>
        <w:rPr>
          <w:rFonts w:ascii="微软雅黑" w:hAnsi="微软雅黑" w:eastAsia="微软雅黑"/>
          <w:color w:val="0000FF"/>
          <w:sz w:val="24"/>
        </w:rPr>
      </w:pPr>
      <w:r>
        <w:rPr>
          <w:rFonts w:hint="eastAsia" w:ascii="微软雅黑" w:hAnsi="微软雅黑" w:eastAsia="微软雅黑"/>
          <w:color w:val="0000FF"/>
          <w:sz w:val="24"/>
        </w:rPr>
        <w:t>通过总结区域发展、市场供求、地块条件等部分内容，分析各物业开发的可行性，并在选择物业类型的基础上给出最佳开发规模和配比的建议。</w:t>
      </w:r>
    </w:p>
    <w:p>
      <w:pPr>
        <w:pStyle w:val="16"/>
        <w:numPr>
          <w:ilvl w:val="0"/>
          <w:numId w:val="15"/>
        </w:numPr>
        <w:snapToGrid w:val="0"/>
        <w:spacing w:line="360" w:lineRule="auto"/>
        <w:ind w:firstLineChars="0"/>
        <w:rPr>
          <w:rFonts w:ascii="微软雅黑" w:hAnsi="微软雅黑" w:eastAsia="微软雅黑"/>
          <w:color w:val="0000FF"/>
        </w:rPr>
      </w:pPr>
      <w:r>
        <w:rPr>
          <w:rFonts w:hint="eastAsia" w:ascii="微软雅黑" w:hAnsi="微软雅黑" w:eastAsia="微软雅黑"/>
          <w:color w:val="0000FF"/>
        </w:rPr>
        <w:t>项目功能物业组合</w:t>
      </w:r>
    </w:p>
    <w:p>
      <w:pPr>
        <w:pStyle w:val="16"/>
        <w:numPr>
          <w:ilvl w:val="0"/>
          <w:numId w:val="15"/>
        </w:numPr>
        <w:snapToGrid w:val="0"/>
        <w:spacing w:line="360" w:lineRule="auto"/>
        <w:ind w:firstLineChars="0"/>
        <w:rPr>
          <w:rFonts w:ascii="微软雅黑" w:hAnsi="微软雅黑" w:eastAsia="微软雅黑"/>
          <w:color w:val="0000FF"/>
        </w:rPr>
      </w:pPr>
      <w:r>
        <w:rPr>
          <w:rFonts w:hint="eastAsia" w:ascii="微软雅黑" w:hAnsi="微软雅黑" w:eastAsia="微软雅黑"/>
          <w:color w:val="0000FF"/>
        </w:rPr>
        <w:t>功能业态配比建议</w:t>
      </w:r>
    </w:p>
    <w:p>
      <w:pPr>
        <w:widowControl/>
        <w:spacing w:before="240"/>
        <w:jc w:val="left"/>
        <w:rPr>
          <w:rFonts w:ascii="微软雅黑" w:hAnsi="微软雅黑" w:eastAsia="微软雅黑" w:cs="微软雅黑"/>
          <w:bCs/>
          <w:color w:val="0000FF"/>
          <w:sz w:val="24"/>
        </w:rPr>
      </w:pPr>
      <w:r>
        <w:rPr>
          <w:rFonts w:hint="eastAsia" w:ascii="微软雅黑" w:hAnsi="微软雅黑" w:eastAsia="微软雅黑" w:cs="微软雅黑"/>
          <w:bCs/>
          <w:color w:val="0000FF"/>
          <w:sz w:val="24"/>
        </w:rPr>
        <w:t>5.3</w:t>
      </w:r>
      <w:r>
        <w:rPr>
          <w:rFonts w:ascii="微软雅黑" w:hAnsi="微软雅黑" w:eastAsia="微软雅黑" w:cs="微软雅黑"/>
          <w:bCs/>
          <w:color w:val="0000FF"/>
          <w:sz w:val="24"/>
        </w:rPr>
        <w:t xml:space="preserve"> </w:t>
      </w:r>
      <w:r>
        <w:rPr>
          <w:rFonts w:hint="eastAsia" w:ascii="微软雅黑" w:hAnsi="微软雅黑" w:eastAsia="微软雅黑" w:cs="微软雅黑"/>
          <w:bCs/>
          <w:color w:val="0000FF"/>
          <w:sz w:val="24"/>
        </w:rPr>
        <w:t>各功能物业规划布局</w:t>
      </w:r>
    </w:p>
    <w:p>
      <w:pPr>
        <w:widowControl/>
        <w:spacing w:before="240"/>
        <w:jc w:val="left"/>
        <w:rPr>
          <w:rFonts w:ascii="微软雅黑" w:hAnsi="微软雅黑" w:eastAsia="微软雅黑" w:cs="微软雅黑"/>
          <w:bCs/>
          <w:color w:val="0000FF"/>
          <w:sz w:val="24"/>
        </w:rPr>
      </w:pPr>
      <w:r>
        <w:rPr>
          <w:rFonts w:ascii="微软雅黑" w:hAnsi="微软雅黑" w:eastAsia="微软雅黑" w:cs="微软雅黑"/>
          <w:bCs/>
          <w:color w:val="0000FF"/>
          <w:sz w:val="24"/>
        </w:rPr>
        <w:t xml:space="preserve">5.4 </w:t>
      </w:r>
      <w:r>
        <w:rPr>
          <w:rFonts w:hint="eastAsia" w:ascii="微软雅黑" w:hAnsi="微软雅黑" w:eastAsia="微软雅黑" w:cs="微软雅黑"/>
          <w:bCs/>
          <w:color w:val="0000FF"/>
          <w:sz w:val="24"/>
        </w:rPr>
        <w:t>地块分期开发计划</w:t>
      </w:r>
      <w:r>
        <w:rPr>
          <w:rFonts w:ascii="微软雅黑" w:hAnsi="微软雅黑" w:eastAsia="微软雅黑" w:cs="微软雅黑"/>
          <w:bCs/>
          <w:color w:val="0000FF"/>
          <w:sz w:val="24"/>
        </w:rPr>
        <w:t xml:space="preserve"> </w:t>
      </w:r>
    </w:p>
    <w:p>
      <w:pPr>
        <w:widowControl/>
        <w:spacing w:before="240"/>
        <w:jc w:val="left"/>
        <w:rPr>
          <w:rFonts w:ascii="微软雅黑" w:hAnsi="微软雅黑" w:eastAsia="微软雅黑" w:cs="微软雅黑"/>
          <w:b/>
          <w:bCs/>
          <w:sz w:val="24"/>
        </w:rPr>
      </w:pPr>
      <w:r>
        <w:rPr>
          <w:rFonts w:hint="eastAsia" w:ascii="微软雅黑" w:hAnsi="微软雅黑" w:eastAsia="微软雅黑" w:cs="微软雅黑"/>
          <w:b/>
          <w:bCs/>
          <w:sz w:val="24"/>
        </w:rPr>
        <w:t>Part6  分业态产品定位</w:t>
      </w:r>
    </w:p>
    <w:p>
      <w:pPr>
        <w:widowControl/>
        <w:spacing w:before="240"/>
        <w:jc w:val="left"/>
        <w:rPr>
          <w:rFonts w:ascii="宋体" w:hAnsi="宋体" w:cs="宋体"/>
          <w:color w:val="0000FF"/>
          <w:kern w:val="0"/>
          <w:sz w:val="24"/>
        </w:rPr>
      </w:pPr>
      <w:r>
        <w:rPr>
          <w:rFonts w:ascii="微软雅黑" w:hAnsi="微软雅黑" w:eastAsia="微软雅黑"/>
          <w:color w:val="0000FF"/>
          <w:szCs w:val="21"/>
        </w:rPr>
        <w:t xml:space="preserve"> </w:t>
      </w:r>
      <w:r>
        <w:rPr>
          <w:rFonts w:hint="eastAsia" w:ascii="微软雅黑" w:hAnsi="微软雅黑" w:eastAsia="微软雅黑" w:cs="+mn-cs"/>
          <w:color w:val="0000FF"/>
          <w:kern w:val="24"/>
          <w:sz w:val="24"/>
        </w:rPr>
        <w:t>6.1 办公物业定位方向及产品建议</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客群定位</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办公物业开发方向建议</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形象定位及档次定位</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开发办公物业细化定位建议</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开发经营模式建议、租售模式及租售价格建议等</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 xml:space="preserve">办公物业产品标准建议 </w:t>
      </w:r>
    </w:p>
    <w:p>
      <w:pPr>
        <w:pStyle w:val="16"/>
        <w:numPr>
          <w:ilvl w:val="0"/>
          <w:numId w:val="11"/>
        </w:numPr>
        <w:spacing w:before="240"/>
        <w:ind w:firstLineChars="0"/>
        <w:rPr>
          <w:color w:val="0000FF"/>
        </w:rPr>
      </w:pPr>
      <w:r>
        <w:rPr>
          <w:rFonts w:hint="eastAsia" w:ascii="微软雅黑" w:hAnsi="微软雅黑" w:eastAsia="微软雅黑" w:cs="微软雅黑"/>
          <w:bCs/>
          <w:color w:val="0000FF"/>
        </w:rPr>
        <w:t>停车位数量及价格建议</w:t>
      </w:r>
    </w:p>
    <w:p>
      <w:pPr>
        <w:widowControl/>
        <w:spacing w:before="240"/>
        <w:jc w:val="left"/>
        <w:rPr>
          <w:rFonts w:ascii="宋体" w:hAnsi="宋体" w:cs="宋体"/>
          <w:color w:val="0000FF"/>
          <w:kern w:val="0"/>
          <w:sz w:val="24"/>
        </w:rPr>
      </w:pPr>
      <w:r>
        <w:rPr>
          <w:rFonts w:hint="eastAsia" w:ascii="微软雅黑" w:hAnsi="微软雅黑" w:eastAsia="微软雅黑" w:cs="+mn-cs"/>
          <w:color w:val="0000FF"/>
          <w:kern w:val="24"/>
          <w:sz w:val="24"/>
        </w:rPr>
        <w:t>6.2 零售商业定位方向及业态建议</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mn-cs"/>
          <w:color w:val="0000FF"/>
          <w:kern w:val="24"/>
        </w:rPr>
        <w:t>可行性及</w:t>
      </w:r>
      <w:r>
        <w:rPr>
          <w:rFonts w:hint="eastAsia" w:ascii="微软雅黑" w:hAnsi="微软雅黑" w:eastAsia="微软雅黑" w:cs="微软雅黑"/>
          <w:bCs/>
          <w:color w:val="0000FF"/>
        </w:rPr>
        <w:t>竞争策略分析主要结论</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整体商业档次定位</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主题及业态功能定位</w:t>
      </w:r>
    </w:p>
    <w:p>
      <w:pPr>
        <w:pStyle w:val="16"/>
        <w:numPr>
          <w:ilvl w:val="0"/>
          <w:numId w:val="11"/>
        </w:numPr>
        <w:spacing w:before="240"/>
        <w:ind w:firstLineChars="0"/>
        <w:rPr>
          <w:color w:val="0000FF"/>
        </w:rPr>
      </w:pPr>
      <w:r>
        <w:rPr>
          <w:rFonts w:hint="eastAsia" w:ascii="微软雅黑" w:hAnsi="微软雅黑" w:eastAsia="微软雅黑" w:cs="微软雅黑"/>
          <w:bCs/>
          <w:color w:val="0000FF"/>
        </w:rPr>
        <w:t>业态组合</w:t>
      </w:r>
      <w:r>
        <w:rPr>
          <w:rFonts w:hint="eastAsia" w:ascii="微软雅黑" w:hAnsi="微软雅黑" w:eastAsia="微软雅黑" w:cs="+mn-cs"/>
          <w:color w:val="0000FF"/>
          <w:kern w:val="24"/>
        </w:rPr>
        <w:t>建议</w:t>
      </w:r>
    </w:p>
    <w:p>
      <w:pPr>
        <w:pStyle w:val="16"/>
        <w:numPr>
          <w:ilvl w:val="0"/>
          <w:numId w:val="11"/>
        </w:numPr>
        <w:spacing w:before="240"/>
        <w:ind w:firstLineChars="0"/>
        <w:rPr>
          <w:color w:val="0000FF"/>
        </w:rPr>
      </w:pPr>
      <w:r>
        <w:rPr>
          <w:rFonts w:hint="eastAsia" w:ascii="微软雅黑" w:hAnsi="微软雅黑" w:eastAsia="微软雅黑" w:cs="微软雅黑"/>
          <w:bCs/>
          <w:color w:val="0000FF"/>
        </w:rPr>
        <w:t>租售价格建议</w:t>
      </w:r>
    </w:p>
    <w:p>
      <w:pPr>
        <w:pStyle w:val="16"/>
        <w:numPr>
          <w:ilvl w:val="0"/>
          <w:numId w:val="11"/>
        </w:numPr>
        <w:spacing w:before="240"/>
        <w:ind w:firstLineChars="0"/>
        <w:rPr>
          <w:color w:val="0000FF"/>
        </w:rPr>
      </w:pPr>
      <w:r>
        <w:rPr>
          <w:rFonts w:hint="eastAsia" w:ascii="微软雅黑" w:hAnsi="微软雅黑" w:eastAsia="微软雅黑" w:cs="微软雅黑"/>
          <w:bCs/>
          <w:color w:val="0000FF"/>
        </w:rPr>
        <w:t>停车位数量及价格建议</w:t>
      </w:r>
    </w:p>
    <w:p>
      <w:pPr>
        <w:widowControl/>
        <w:spacing w:before="240"/>
        <w:jc w:val="left"/>
        <w:rPr>
          <w:rFonts w:ascii="微软雅黑" w:hAnsi="微软雅黑" w:eastAsia="微软雅黑" w:cs="微软雅黑"/>
          <w:color w:val="0000FF"/>
          <w:sz w:val="24"/>
        </w:rPr>
      </w:pPr>
      <w:r>
        <w:rPr>
          <w:rFonts w:hint="eastAsia" w:ascii="微软雅黑" w:hAnsi="微软雅黑" w:eastAsia="微软雅黑" w:cs="微软雅黑"/>
          <w:color w:val="0000FF"/>
          <w:sz w:val="24"/>
        </w:rPr>
        <w:t>6.3酒店业态定位</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mn-cs"/>
          <w:color w:val="0000FF"/>
          <w:kern w:val="24"/>
        </w:rPr>
        <w:t>档次</w:t>
      </w:r>
      <w:r>
        <w:rPr>
          <w:rFonts w:hint="eastAsia" w:ascii="微软雅黑" w:hAnsi="微软雅黑" w:eastAsia="微软雅黑" w:cs="微软雅黑"/>
          <w:bCs/>
          <w:color w:val="0000FF"/>
        </w:rPr>
        <w:t>定位</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品牌建议（整租品牌推荐、或酒店管理公司及品牌建议）</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经营模式建议（自营或整体租赁）</w:t>
      </w:r>
    </w:p>
    <w:p>
      <w:pPr>
        <w:pStyle w:val="16"/>
        <w:numPr>
          <w:ilvl w:val="0"/>
          <w:numId w:val="11"/>
        </w:numPr>
        <w:spacing w:before="240"/>
        <w:ind w:firstLineChars="0"/>
        <w:rPr>
          <w:rFonts w:ascii="微软雅黑" w:hAnsi="微软雅黑" w:eastAsia="微软雅黑" w:cs="微软雅黑"/>
          <w:bCs/>
          <w:color w:val="0000FF"/>
        </w:rPr>
      </w:pPr>
      <w:r>
        <w:rPr>
          <w:rFonts w:hint="eastAsia" w:ascii="微软雅黑" w:hAnsi="微软雅黑" w:eastAsia="微软雅黑" w:cs="微软雅黑"/>
          <w:bCs/>
          <w:color w:val="0000FF"/>
        </w:rPr>
        <w:t>规模定位（房间数量、配比、配套功能、标间价格建议、出租率预测或整租预测价格）</w:t>
      </w:r>
    </w:p>
    <w:p>
      <w:pPr>
        <w:pStyle w:val="16"/>
        <w:numPr>
          <w:ilvl w:val="0"/>
          <w:numId w:val="11"/>
        </w:numPr>
        <w:spacing w:before="240"/>
        <w:ind w:firstLineChars="0"/>
        <w:rPr>
          <w:color w:val="0000FF"/>
        </w:rPr>
      </w:pPr>
      <w:r>
        <w:rPr>
          <w:rFonts w:hint="eastAsia" w:ascii="微软雅黑" w:hAnsi="微软雅黑" w:eastAsia="微软雅黑" w:cs="微软雅黑"/>
          <w:bCs/>
          <w:color w:val="0000FF"/>
        </w:rPr>
        <w:t>停车位数量及价格建议</w:t>
      </w:r>
    </w:p>
    <w:p>
      <w:pPr>
        <w:pStyle w:val="16"/>
        <w:numPr>
          <w:ilvl w:val="0"/>
          <w:numId w:val="11"/>
        </w:numPr>
        <w:spacing w:before="240"/>
        <w:ind w:firstLineChars="0"/>
        <w:rPr>
          <w:rFonts w:ascii="微软雅黑" w:hAnsi="微软雅黑" w:eastAsia="微软雅黑" w:cs="+mn-cs"/>
          <w:color w:val="0000FF"/>
          <w:kern w:val="24"/>
        </w:rPr>
      </w:pPr>
      <w:r>
        <w:rPr>
          <w:rFonts w:hint="eastAsia" w:ascii="微软雅黑" w:hAnsi="微软雅黑" w:eastAsia="微软雅黑" w:cs="微软雅黑"/>
          <w:bCs/>
          <w:color w:val="0000FF"/>
        </w:rPr>
        <w:t>装修风</w:t>
      </w:r>
      <w:r>
        <w:rPr>
          <w:rFonts w:hint="eastAsia" w:ascii="微软雅黑" w:hAnsi="微软雅黑" w:eastAsia="微软雅黑" w:cs="+mn-cs"/>
          <w:color w:val="0000FF"/>
          <w:kern w:val="24"/>
        </w:rPr>
        <w:t>格建议</w:t>
      </w:r>
    </w:p>
    <w:p>
      <w:pPr>
        <w:widowControl/>
        <w:spacing w:before="240"/>
        <w:jc w:val="left"/>
        <w:rPr>
          <w:rFonts w:ascii="微软雅黑" w:hAnsi="微软雅黑" w:eastAsia="微软雅黑" w:cs="微软雅黑"/>
          <w:bCs/>
          <w:sz w:val="24"/>
        </w:rPr>
      </w:pPr>
      <w:r>
        <w:rPr>
          <w:rFonts w:hint="eastAsia" w:ascii="微软雅黑" w:hAnsi="微软雅黑" w:eastAsia="微软雅黑" w:cs="微软雅黑"/>
          <w:bCs/>
          <w:sz w:val="24"/>
        </w:rPr>
        <w:t>6.4 公寓物业开发定位建议</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mn-cs"/>
          <w:color w:val="000000" w:themeColor="text1"/>
          <w:kern w:val="24"/>
          <w14:textFill>
            <w14:solidFill>
              <w14:schemeClr w14:val="tx1"/>
            </w14:solidFill>
          </w14:textFill>
        </w:rPr>
        <w:t>客群</w:t>
      </w:r>
      <w:r>
        <w:rPr>
          <w:rFonts w:hint="eastAsia" w:ascii="微软雅黑" w:hAnsi="微软雅黑" w:eastAsia="微软雅黑" w:cs="微软雅黑"/>
          <w:bCs/>
        </w:rPr>
        <w:t>定位</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公寓开发的竞争策略及主要结论</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公寓物业开发定位建议</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公寓物业销</w:t>
      </w:r>
      <w:r>
        <w:rPr>
          <w:rFonts w:hint="eastAsia" w:ascii="微软雅黑" w:hAnsi="微软雅黑" w:eastAsia="微软雅黑" w:cs="+mn-cs"/>
          <w:color w:val="000000" w:themeColor="text1"/>
          <w:kern w:val="24"/>
          <w14:textFill>
            <w14:solidFill>
              <w14:schemeClr w14:val="tx1"/>
            </w14:solidFill>
          </w14:textFill>
        </w:rPr>
        <w:t>售价格及销售策略建议等</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停车位数量及价格建议</w:t>
      </w:r>
    </w:p>
    <w:p>
      <w:pPr>
        <w:widowControl/>
        <w:spacing w:before="240"/>
        <w:jc w:val="left"/>
        <w:rPr>
          <w:rFonts w:ascii="微软雅黑" w:hAnsi="微软雅黑" w:eastAsia="微软雅黑" w:cs="微软雅黑"/>
          <w:bCs/>
          <w:sz w:val="24"/>
        </w:rPr>
      </w:pPr>
      <w:r>
        <w:rPr>
          <w:rFonts w:ascii="微软雅黑" w:hAnsi="微软雅黑" w:eastAsia="微软雅黑" w:cs="微软雅黑"/>
          <w:bCs/>
          <w:sz w:val="24"/>
        </w:rPr>
        <w:t xml:space="preserve">6.5 </w:t>
      </w:r>
      <w:r>
        <w:rPr>
          <w:rFonts w:hint="eastAsia" w:ascii="微软雅黑" w:hAnsi="微软雅黑" w:eastAsia="微软雅黑" w:cs="微软雅黑"/>
          <w:sz w:val="24"/>
        </w:rPr>
        <w:t>住宅</w:t>
      </w:r>
      <w:r>
        <w:rPr>
          <w:rFonts w:hint="eastAsia" w:ascii="微软雅黑" w:hAnsi="微软雅黑" w:eastAsia="微软雅黑" w:cs="微软雅黑"/>
          <w:bCs/>
          <w:sz w:val="24"/>
        </w:rPr>
        <w:t>定位</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mn-cs"/>
          <w:color w:val="000000" w:themeColor="text1"/>
          <w:kern w:val="24"/>
          <w14:textFill>
            <w14:solidFill>
              <w14:schemeClr w14:val="tx1"/>
            </w14:solidFill>
          </w14:textFill>
        </w:rPr>
        <w:t>客群</w:t>
      </w:r>
      <w:r>
        <w:rPr>
          <w:rFonts w:hint="eastAsia" w:ascii="微软雅黑" w:hAnsi="微软雅黑" w:eastAsia="微软雅黑" w:cs="微软雅黑"/>
          <w:bCs/>
        </w:rPr>
        <w:t>定位</w:t>
      </w:r>
    </w:p>
    <w:p>
      <w:pPr>
        <w:pStyle w:val="16"/>
        <w:numPr>
          <w:ilvl w:val="0"/>
          <w:numId w:val="11"/>
        </w:numPr>
        <w:spacing w:before="240"/>
        <w:ind w:firstLineChars="0"/>
        <w:rPr>
          <w:rFonts w:ascii="微软雅黑" w:hAnsi="微软雅黑" w:eastAsia="微软雅黑" w:cs="微软雅黑"/>
          <w:bCs/>
        </w:rPr>
      </w:pPr>
      <w:r>
        <w:rPr>
          <w:rFonts w:hint="eastAsia" w:ascii="微软雅黑" w:hAnsi="微软雅黑" w:eastAsia="微软雅黑" w:cs="微软雅黑"/>
          <w:bCs/>
        </w:rPr>
        <w:t>物业开发定位建议</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产品建议、装修标准</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销</w:t>
      </w:r>
      <w:r>
        <w:rPr>
          <w:rFonts w:hint="eastAsia" w:ascii="微软雅黑" w:hAnsi="微软雅黑" w:eastAsia="微软雅黑" w:cs="+mn-cs"/>
          <w:color w:val="000000" w:themeColor="text1"/>
          <w:kern w:val="24"/>
          <w14:textFill>
            <w14:solidFill>
              <w14:schemeClr w14:val="tx1"/>
            </w14:solidFill>
          </w14:textFill>
        </w:rPr>
        <w:t>售价格及销售节奏建议</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停车位数量及价格建议</w:t>
      </w:r>
    </w:p>
    <w:p>
      <w:pPr>
        <w:pStyle w:val="16"/>
        <w:numPr>
          <w:ilvl w:val="0"/>
          <w:numId w:val="11"/>
        </w:numPr>
        <w:spacing w:before="240"/>
        <w:ind w:firstLineChars="0"/>
        <w:rPr>
          <w:color w:val="000000" w:themeColor="text1"/>
          <w14:textFill>
            <w14:solidFill>
              <w14:schemeClr w14:val="tx1"/>
            </w14:solidFill>
          </w14:textFill>
        </w:rPr>
      </w:pPr>
      <w:r>
        <w:rPr>
          <w:rFonts w:hint="eastAsia" w:ascii="微软雅黑" w:hAnsi="微软雅黑" w:eastAsia="微软雅黑" w:cs="微软雅黑"/>
          <w:bCs/>
        </w:rPr>
        <w:t>其他建议（如有：园林、整体装修风格）</w:t>
      </w:r>
    </w:p>
    <w:p>
      <w:r>
        <w:br w:type="page"/>
      </w:r>
    </w:p>
    <w:p>
      <w:pPr>
        <w:jc w:val="center"/>
        <w:rPr>
          <w:rFonts w:ascii="微软雅黑" w:hAnsi="微软雅黑" w:eastAsia="微软雅黑" w:cs="微软雅黑"/>
          <w:b/>
          <w:bCs/>
          <w:szCs w:val="21"/>
        </w:rPr>
      </w:pPr>
      <w:r>
        <w:rPr>
          <w:rFonts w:hint="eastAsia" w:ascii="微软雅黑" w:hAnsi="微软雅黑" w:eastAsia="微软雅黑" w:cs="微软雅黑"/>
          <w:b/>
          <w:bCs/>
          <w:sz w:val="36"/>
          <w:szCs w:val="36"/>
        </w:rPr>
        <w:t>廉洁协议</w:t>
      </w:r>
    </w:p>
    <w:p>
      <w:pPr>
        <w:rPr>
          <w:rFonts w:ascii="微软雅黑" w:hAnsi="微软雅黑" w:eastAsia="微软雅黑" w:cs="微软雅黑"/>
          <w:szCs w:val="21"/>
        </w:rPr>
      </w:pPr>
      <w:r>
        <w:rPr>
          <w:rFonts w:hint="eastAsia" w:ascii="微软雅黑" w:hAnsi="微软雅黑" w:eastAsia="微软雅黑" w:cs="微软雅黑"/>
          <w:szCs w:val="21"/>
        </w:rPr>
        <w:t>甲方：广州市城壹房地产顾问有限公司</w:t>
      </w:r>
    </w:p>
    <w:p>
      <w:pPr>
        <w:rPr>
          <w:rFonts w:ascii="微软雅黑" w:hAnsi="微软雅黑" w:eastAsia="微软雅黑" w:cs="微软雅黑"/>
          <w:szCs w:val="21"/>
        </w:rPr>
      </w:pPr>
      <w:r>
        <w:rPr>
          <w:rFonts w:hint="eastAsia" w:ascii="微软雅黑" w:hAnsi="微软雅黑" w:eastAsia="微软雅黑" w:cs="微软雅黑"/>
          <w:szCs w:val="21"/>
        </w:rPr>
        <w:t>乙方：</w:t>
      </w:r>
    </w:p>
    <w:p>
      <w:pPr>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rPr>
          <w:rFonts w:ascii="微软雅黑" w:hAnsi="微软雅黑" w:eastAsia="微软雅黑" w:cs="微软雅黑"/>
          <w:szCs w:val="21"/>
        </w:rPr>
      </w:pPr>
      <w:r>
        <w:rPr>
          <w:rFonts w:hint="eastAsia" w:ascii="微软雅黑" w:hAnsi="微软雅黑" w:eastAsia="微软雅黑" w:cs="微软雅黑"/>
          <w:szCs w:val="21"/>
        </w:rPr>
        <w:t>第一条 甲乙双方责任</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（一）严格遵守国家法律法规和廉洁从业规定以及相关行业行风建设的纪律和规定。</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（二）严格执行合同，自觉按合同办事。</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（三）双方的业务活动必须坚持公开、公平、公正、诚信、透明的原则（法律法规另有规定或双方约定除外），不得损害国家和企业利益。</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（四）发现对方在业务活动中有违反廉洁从业规定或本协议约定的行为，应及时提醒和纠正对方。</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（五）发现对方在业务活动中有严重违反廉洁从业规定的行为，有权向对方主管部门或有关部门举报。</w:t>
      </w:r>
    </w:p>
    <w:p>
      <w:pPr>
        <w:rPr>
          <w:rFonts w:ascii="微软雅黑" w:hAnsi="微软雅黑" w:eastAsia="微软雅黑" w:cs="微软雅黑"/>
          <w:szCs w:val="21"/>
        </w:rPr>
      </w:pPr>
      <w:r>
        <w:rPr>
          <w:rFonts w:hint="eastAsia" w:ascii="微软雅黑" w:hAnsi="微软雅黑" w:eastAsia="微软雅黑" w:cs="微软雅黑"/>
          <w:szCs w:val="21"/>
        </w:rPr>
        <w:t>第二条  甲方应遵守下列条款</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（一）甲方、甲方工作人员及其亲属不得以暗示或任何形式向乙方索要或收受回扣、提成、现金、有价证券、支付凭证和贵重礼品等财物。</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（二）甲方及其工作人员不得参加乙方安排的宴请（工作餐除外）、娱乐活动、高档消费；不得接受乙方向甲方及其工作人员提供的通信工具、交通工具和高档办公用品等物品。</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（三）甲方及其工作人员不得以任何理由要求、暗示或接受乙方和相关单位为其在度假、出国（出境）旅游、婚丧嫁娶、住房装修、配偶子女等亲属工作安排等方面提供方便。</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（四）甲方工作人员不得在乙方报销应由甲方或个人支付的任何费用。</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（五）甲方工作人员及其配偶、子女及其他特定关系人不得以个人借用（包含甲方借给乙方或乙方借给甲方）等名义与乙方或乙方工作人员发生现金、房屋、交通工具和贵重物品往来。</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（六）如果乙方向甲方工作人员提供第三条第（一）至（五）款所指的内容，甲方工作人员应拒绝对方；对于无法拒绝的，应及时向甲方纪检部门举报。</w:t>
      </w:r>
    </w:p>
    <w:p>
      <w:pPr>
        <w:rPr>
          <w:rFonts w:ascii="微软雅黑" w:hAnsi="微软雅黑" w:eastAsia="微软雅黑" w:cs="微软雅黑"/>
          <w:szCs w:val="21"/>
        </w:rPr>
      </w:pPr>
      <w:r>
        <w:rPr>
          <w:rFonts w:hint="eastAsia" w:ascii="微软雅黑" w:hAnsi="微软雅黑" w:eastAsia="微软雅黑" w:cs="微软雅黑"/>
          <w:szCs w:val="21"/>
        </w:rPr>
        <w:t>第三条 乙方应遵守下列条款</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（一）乙方不得以任何形式向甲方及其工作人员馈赠现金、有价证券、支付凭证和贵重礼品等财物。</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（二）乙方不得以任何理由邀请甲方工作人员参加有可能影响业务活动的宴请及娱乐活动；不得为甲方及其工作人员提供的通信工具、交通工具和高档办公用品等物品。</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（三）乙方不得为甲方工作人员在度假、出国（出境）旅游、婚丧嫁娶、住房装修、配偶子女等亲属工作安排等方面提供方便。</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（四）乙方不得以任何名义为甲方工作人员及其亲属支付应由个人支付的各种费用。</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（五）乙方或乙方工作人员不得以借用（包含甲方借给乙方或乙方借给甲方）等名义与甲方工作人员及其配偶、子女及其他特定关系人发生现金、房屋、交通工具和贵重物品往来。</w:t>
      </w:r>
    </w:p>
    <w:p>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（六）甲方工作人员主动向乙方索要或要求乙方安排和提供第三条（一）至（五）款所指的内容，乙方应予以拒绝，并向甲方纪检部门及时举报。</w:t>
      </w:r>
    </w:p>
    <w:p>
      <w:pPr>
        <w:rPr>
          <w:rFonts w:ascii="微软雅黑" w:hAnsi="微软雅黑" w:eastAsia="微软雅黑" w:cs="微软雅黑"/>
          <w:szCs w:val="21"/>
        </w:rPr>
      </w:pPr>
      <w:r>
        <w:rPr>
          <w:rFonts w:hint="eastAsia" w:ascii="微软雅黑" w:hAnsi="微软雅黑" w:eastAsia="微软雅黑" w:cs="微软雅黑"/>
          <w:szCs w:val="21"/>
        </w:rPr>
        <w:t>第四条 违约责任</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rPr>
          <w:rFonts w:ascii="微软雅黑" w:hAnsi="微软雅黑" w:eastAsia="微软雅黑" w:cs="微软雅黑"/>
          <w:szCs w:val="21"/>
        </w:rPr>
      </w:pPr>
      <w:r>
        <w:rPr>
          <w:rFonts w:hint="eastAsia" w:ascii="微软雅黑" w:hAnsi="微软雅黑" w:eastAsia="微软雅黑" w:cs="微软雅黑"/>
          <w:szCs w:val="21"/>
        </w:rPr>
        <w:t>第五条 如甲乙双方有违反国家法律法规和廉洁从业规定的其他行为，参照本协议约定执行。</w:t>
      </w:r>
    </w:p>
    <w:p>
      <w:pPr>
        <w:rPr>
          <w:rFonts w:ascii="微软雅黑" w:hAnsi="微软雅黑" w:eastAsia="微软雅黑" w:cs="微软雅黑"/>
          <w:szCs w:val="21"/>
        </w:rPr>
      </w:pPr>
      <w:r>
        <w:rPr>
          <w:rFonts w:hint="eastAsia" w:ascii="微软雅黑" w:hAnsi="微软雅黑" w:eastAsia="微软雅黑" w:cs="微软雅黑"/>
          <w:szCs w:val="21"/>
        </w:rPr>
        <w:t>第六条 本协议经双方盖章后生效，一式肆份，甲乙方各执贰份，具有同等法律效力。</w:t>
      </w:r>
    </w:p>
    <w:p>
      <w:pPr>
        <w:rPr>
          <w:rFonts w:ascii="微软雅黑" w:hAnsi="微软雅黑" w:eastAsia="微软雅黑" w:cs="微软雅黑"/>
          <w:szCs w:val="21"/>
        </w:rPr>
      </w:pPr>
      <w:r>
        <w:rPr>
          <w:rFonts w:hint="eastAsia" w:ascii="微软雅黑" w:hAnsi="微软雅黑" w:eastAsia="微软雅黑" w:cs="微软雅黑"/>
          <w:szCs w:val="21"/>
        </w:rPr>
        <w:t>甲方：                          乙方：</w:t>
      </w:r>
    </w:p>
    <w:p>
      <w:pPr>
        <w:spacing w:after="200" w:line="360" w:lineRule="auto"/>
        <w:rPr>
          <w:rFonts w:ascii="微软雅黑" w:hAnsi="微软雅黑" w:eastAsia="微软雅黑" w:cs="微软雅黑"/>
          <w:b/>
          <w:szCs w:val="21"/>
        </w:rPr>
      </w:pPr>
      <w:r>
        <w:rPr>
          <w:rFonts w:hint="eastAsia" w:ascii="微软雅黑" w:hAnsi="微软雅黑" w:eastAsia="微软雅黑" w:cs="微软雅黑"/>
          <w:szCs w:val="21"/>
        </w:rPr>
        <w:t>日期：                          日期:</w:t>
      </w:r>
    </w:p>
    <w:p>
      <w:pPr>
        <w:tabs>
          <w:tab w:val="left" w:pos="631"/>
        </w:tabs>
        <w:jc w:val="left"/>
        <w:rPr>
          <w:rFonts w:ascii="微软雅黑" w:hAnsi="微软雅黑" w:eastAsia="微软雅黑" w:cs="微软雅黑"/>
          <w:szCs w:val="21"/>
        </w:rPr>
      </w:pPr>
    </w:p>
    <w:p/>
    <w:p/>
    <w:p>
      <w:pPr>
        <w:rPr>
          <w:rFonts w:ascii="微软雅黑" w:hAnsi="微软雅黑" w:eastAsia="微软雅黑" w:cs="微软雅黑"/>
          <w:sz w:val="24"/>
        </w:rPr>
      </w:pPr>
    </w:p>
    <w:p>
      <w:pPr>
        <w:tabs>
          <w:tab w:val="left" w:pos="6564"/>
        </w:tabs>
        <w:spacing w:line="360" w:lineRule="auto"/>
        <w:textAlignment w:val="top"/>
        <w:rPr>
          <w:rFonts w:ascii="微软雅黑" w:hAnsi="微软雅黑" w:eastAsia="微软雅黑" w:cs="Arial"/>
          <w:b/>
          <w:bCs/>
          <w:szCs w:val="21"/>
        </w:rPr>
      </w:pPr>
    </w:p>
    <w:p>
      <w:pPr>
        <w:spacing w:after="200" w:line="360" w:lineRule="auto"/>
        <w:rPr>
          <w:rFonts w:hint="eastAsia" w:ascii="微软雅黑" w:hAnsi="微软雅黑" w:eastAsia="微软雅黑" w:cs="微软雅黑"/>
          <w:b/>
          <w:szCs w:val="21"/>
        </w:rPr>
      </w:pPr>
    </w:p>
    <w:p>
      <w:pPr>
        <w:tabs>
          <w:tab w:val="left" w:pos="631"/>
        </w:tabs>
        <w:jc w:val="left"/>
        <w:rPr>
          <w:rFonts w:hint="eastAsia" w:ascii="微软雅黑" w:hAnsi="微软雅黑" w:eastAsia="微软雅黑" w:cs="微软雅黑"/>
          <w:szCs w:val="21"/>
        </w:rPr>
      </w:pPr>
    </w:p>
    <w:p/>
    <w:p/>
    <w:p>
      <w:pPr>
        <w:jc w:val="both"/>
        <w:rPr>
          <w:rFonts w:ascii="微软雅黑" w:hAnsi="微软雅黑" w:eastAsia="微软雅黑" w:cs="微软雅黑"/>
          <w:sz w:val="24"/>
        </w:rPr>
      </w:pPr>
    </w:p>
    <w:p>
      <w:pPr>
        <w:tabs>
          <w:tab w:val="left" w:pos="6564"/>
        </w:tabs>
        <w:spacing w:line="360" w:lineRule="auto"/>
        <w:textAlignment w:val="top"/>
        <w:rPr>
          <w:rFonts w:hint="default" w:ascii="微软雅黑" w:hAnsi="微软雅黑" w:eastAsia="微软雅黑" w:cs="Arial"/>
          <w:b/>
          <w:bCs/>
          <w:szCs w:val="21"/>
          <w:highlight w:val="none"/>
          <w:lang w:val="en-US" w:eastAsia="zh-CN"/>
        </w:rPr>
      </w:pPr>
    </w:p>
    <w:p>
      <w:pPr>
        <w:rPr>
          <w:rFonts w:ascii="Calibri" w:hAnsi="Calibri" w:eastAsia="宋体" w:cs="Times New Roman"/>
          <w:szCs w:val="24"/>
        </w:rPr>
      </w:pPr>
      <w:r>
        <w:rPr>
          <w:rFonts w:hint="eastAsia" w:ascii="微软雅黑" w:hAnsi="微软雅黑" w:eastAsia="微软雅黑" w:cs="Arial"/>
          <w:b/>
          <w:bCs/>
          <w:szCs w:val="21"/>
        </w:rPr>
        <w:t xml:space="preserve">     </w:t>
      </w:r>
      <w:r>
        <w:rPr>
          <w:rFonts w:ascii="Calibri" w:hAnsi="Calibri" w:eastAsia="宋体" w:cs="Times New Roman"/>
          <w:szCs w:val="24"/>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hint="eastAsia" w:ascii="仿宋_GB2312" w:hAnsi="Calibri" w:eastAsia="仿宋_GB2312" w:cs="Times New Roman"/>
          <w:b/>
          <w:sz w:val="52"/>
          <w:szCs w:val="52"/>
          <w:u w:val="single"/>
          <w:lang w:val="en-US" w:eastAsia="zh-CN"/>
        </w:rPr>
      </w:pPr>
      <w:r>
        <w:rPr>
          <w:rFonts w:hint="eastAsia" w:ascii="仿宋_GB2312" w:hAnsi="Calibri" w:eastAsia="仿宋_GB2312" w:cs="Times New Roman"/>
          <w:b/>
          <w:sz w:val="52"/>
          <w:szCs w:val="52"/>
          <w:u w:val="single"/>
          <w:lang w:val="en-US" w:eastAsia="zh-CN"/>
        </w:rPr>
        <w:t>番禺谢村片区策划方案</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lang w:val="en-US" w:eastAsia="zh-CN"/>
        </w:rPr>
        <w:t>合作项目</w:t>
      </w:r>
    </w:p>
    <w:p>
      <w:pPr>
        <w:jc w:val="center"/>
        <w:rPr>
          <w:rFonts w:ascii="仿宋_GB2312" w:hAnsi="Calibri" w:eastAsia="仿宋_GB2312" w:cs="Times New Roman"/>
          <w:b/>
          <w:sz w:val="52"/>
          <w:szCs w:val="52"/>
          <w:u w:val="single"/>
        </w:rPr>
      </w:pP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年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月</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w:t>
      </w:r>
      <w:r>
        <w:rPr>
          <w:rFonts w:hint="eastAsia" w:ascii="仿宋_GB2312" w:hAnsi="宋体" w:eastAsia="仿宋_GB2312" w:cs="宋体"/>
          <w:b/>
          <w:bCs/>
          <w:kern w:val="0"/>
          <w:sz w:val="24"/>
          <w:szCs w:val="24"/>
          <w:lang w:val="en-US" w:eastAsia="zh-CN"/>
        </w:rPr>
        <w:t>顾问</w:t>
      </w:r>
      <w:r>
        <w:rPr>
          <w:rFonts w:hint="eastAsia" w:ascii="仿宋_GB2312" w:hAnsi="宋体" w:eastAsia="仿宋_GB2312" w:cs="宋体"/>
          <w:b/>
          <w:bCs/>
          <w:kern w:val="0"/>
          <w:sz w:val="24"/>
          <w:szCs w:val="24"/>
        </w:rPr>
        <w:t>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1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0"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1" w:name="_Toc334797769"/>
      <w:r>
        <w:rPr>
          <w:rFonts w:hint="eastAsia" w:ascii="仿宋_GB2312" w:hAnsi="Arial" w:eastAsia="仿宋_GB2312" w:cs="Times New Roman"/>
          <w:bCs/>
          <w:sz w:val="24"/>
          <w:szCs w:val="24"/>
        </w:rPr>
        <w:t>附件3</w:t>
      </w:r>
    </w:p>
    <w:bookmarkEnd w:id="10"/>
    <w:bookmarkEnd w:id="11"/>
    <w:p>
      <w:pPr>
        <w:keepNext/>
        <w:keepLines/>
        <w:spacing w:before="260" w:after="260" w:line="400" w:lineRule="exact"/>
        <w:jc w:val="center"/>
        <w:outlineLvl w:val="1"/>
        <w:rPr>
          <w:rFonts w:ascii="仿宋_GB2312" w:hAnsi="宋体" w:eastAsia="仿宋_GB2312" w:cs="宋体"/>
          <w:sz w:val="32"/>
          <w:szCs w:val="32"/>
        </w:rPr>
      </w:pPr>
      <w:bookmarkStart w:id="12" w:name="_Toc334797770"/>
      <w:bookmarkStart w:id="13"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致: 广州市城壹房地产</w:t>
      </w:r>
      <w:r>
        <w:rPr>
          <w:rFonts w:hint="eastAsia" w:ascii="仿宋_GB2312" w:hAnsi="宋体" w:eastAsia="仿宋_GB2312" w:cs="宋体"/>
          <w:bCs/>
          <w:kern w:val="0"/>
          <w:sz w:val="24"/>
          <w:szCs w:val="21"/>
          <w:lang w:val="en-US" w:eastAsia="zh-CN"/>
        </w:rPr>
        <w:t>顾问</w:t>
      </w:r>
      <w:r>
        <w:rPr>
          <w:rFonts w:hint="eastAsia" w:ascii="仿宋_GB2312" w:hAnsi="宋体" w:eastAsia="仿宋_GB2312" w:cs="宋体"/>
          <w:bCs/>
          <w:kern w:val="0"/>
          <w:sz w:val="24"/>
          <w:szCs w:val="21"/>
        </w:rPr>
        <w:t>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2"/>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3"/>
    <w:p>
      <w:pPr>
        <w:keepNext/>
        <w:keepLines/>
        <w:spacing w:before="260" w:after="260" w:line="400" w:lineRule="exact"/>
        <w:outlineLvl w:val="1"/>
        <w:rPr>
          <w:rFonts w:ascii="仿宋_GB2312" w:hAnsi="Arial" w:eastAsia="仿宋_GB2312" w:cs="Times New Roman"/>
          <w:bCs/>
          <w:sz w:val="24"/>
          <w:szCs w:val="32"/>
        </w:rPr>
      </w:pPr>
      <w:bookmarkStart w:id="14" w:name="_Toc334797774"/>
      <w:r>
        <w:rPr>
          <w:rFonts w:ascii="仿宋_GB2312" w:hAnsi="Arial" w:eastAsia="仿宋_GB2312" w:cs="Times New Roman"/>
          <w:b/>
          <w:bCs/>
          <w:sz w:val="32"/>
          <w:szCs w:val="32"/>
        </w:rPr>
        <w:br w:type="page"/>
      </w:r>
      <w:bookmarkEnd w:id="14"/>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lang w:val="en-US" w:eastAsia="zh-CN"/>
        </w:rPr>
        <w:t>竞投</w:t>
      </w:r>
      <w:r>
        <w:rPr>
          <w:rFonts w:hint="eastAsia" w:ascii="仿宋_GB2312" w:hAnsi="宋体" w:eastAsia="仿宋_GB2312" w:cs="Times New Roman"/>
          <w:szCs w:val="21"/>
        </w:rPr>
        <w:t>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lang w:val="en-US" w:eastAsia="zh-CN"/>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 xml:space="preserve">竞投人名称: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keepNext/>
        <w:keepLines/>
        <w:spacing w:before="260" w:after="260" w:line="400" w:lineRule="exact"/>
        <w:outlineLvl w:val="1"/>
        <w:rPr>
          <w:rFonts w:ascii="宋体" w:hAnsi="宋体" w:eastAsia="黑体" w:cs="Times New Roman"/>
          <w:bCs/>
          <w:sz w:val="24"/>
          <w:szCs w:val="32"/>
        </w:rPr>
      </w:pPr>
      <w:r>
        <w:rPr>
          <w:rFonts w:hint="eastAsia" w:ascii="仿宋_GB2312" w:hAnsi="Arial" w:eastAsia="仿宋_GB2312" w:cs="Times New Roman"/>
          <w:bCs/>
          <w:sz w:val="24"/>
          <w:szCs w:val="24"/>
        </w:rPr>
        <w:t xml:space="preserve">附件7 </w:t>
      </w:r>
      <w:r>
        <w:rPr>
          <w:rFonts w:hint="eastAsia" w:ascii="宋体" w:hAnsi="宋体" w:eastAsia="黑体" w:cs="Times New Roman"/>
          <w:b/>
          <w:bCs/>
          <w:sz w:val="24"/>
          <w:szCs w:val="32"/>
        </w:rPr>
        <w:t xml:space="preserve">           </w:t>
      </w:r>
    </w:p>
    <w:p>
      <w:pPr>
        <w:spacing w:line="300" w:lineRule="auto"/>
        <w:jc w:val="center"/>
        <w:rPr>
          <w:rFonts w:ascii="宋体" w:hAnsi="宋体" w:eastAsia="宋体" w:cs="Times New Roman"/>
          <w:b/>
          <w:bCs/>
          <w:sz w:val="28"/>
          <w:szCs w:val="28"/>
        </w:rPr>
      </w:pPr>
    </w:p>
    <w:p>
      <w:pPr>
        <w:spacing w:line="300" w:lineRule="auto"/>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番禺谢村片区策划方案合作项目</w:t>
      </w:r>
    </w:p>
    <w:p>
      <w:pPr>
        <w:spacing w:line="300" w:lineRule="auto"/>
        <w:jc w:val="center"/>
        <w:rPr>
          <w:rFonts w:ascii="宋体" w:hAnsi="宋体" w:eastAsia="宋体" w:cs="Times New Roman"/>
          <w:szCs w:val="21"/>
        </w:rPr>
      </w:pPr>
      <w:r>
        <w:rPr>
          <w:rFonts w:hint="eastAsia" w:ascii="仿宋_GB2312" w:hAnsi="宋体" w:eastAsia="仿宋_GB2312" w:cs="宋体"/>
          <w:b/>
          <w:bCs/>
          <w:sz w:val="32"/>
          <w:szCs w:val="32"/>
          <w:lang w:val="en-US" w:eastAsia="zh-CN"/>
        </w:rPr>
        <w:t>服务建议书</w:t>
      </w:r>
    </w:p>
    <w:p>
      <w:pPr>
        <w:spacing w:line="300" w:lineRule="auto"/>
        <w:rPr>
          <w:rFonts w:ascii="仿宋" w:hAnsi="仿宋" w:eastAsia="仿宋" w:cs="Times New Roman"/>
          <w:szCs w:val="21"/>
        </w:rPr>
      </w:pPr>
      <w:r>
        <w:rPr>
          <w:rFonts w:hint="eastAsia" w:ascii="仿宋" w:hAnsi="仿宋" w:eastAsia="仿宋" w:cs="Times New Roman"/>
          <w:szCs w:val="21"/>
        </w:rPr>
        <w:t>格式自定，编制对应目录。</w:t>
      </w:r>
    </w:p>
    <w:p>
      <w:pPr>
        <w:spacing w:line="300" w:lineRule="auto"/>
        <w:rPr>
          <w:rFonts w:hint="eastAsia" w:ascii="仿宋" w:hAnsi="仿宋" w:eastAsia="仿宋" w:cs="Times New Roman"/>
          <w:szCs w:val="21"/>
          <w:lang w:eastAsia="zh-CN"/>
        </w:rPr>
      </w:pPr>
      <w:r>
        <w:rPr>
          <w:rFonts w:hint="eastAsia" w:ascii="仿宋" w:hAnsi="仿宋" w:eastAsia="仿宋" w:cs="Times New Roman"/>
          <w:szCs w:val="21"/>
        </w:rPr>
        <w:t>内容包括但不限于：</w:t>
      </w:r>
    </w:p>
    <w:p>
      <w:pPr>
        <w:spacing w:line="300" w:lineRule="auto"/>
        <w:rPr>
          <w:rFonts w:hint="eastAsia" w:ascii="仿宋" w:hAnsi="仿宋" w:eastAsia="仿宋" w:cs="Arial Unicode MS"/>
          <w:szCs w:val="18"/>
          <w:lang w:eastAsia="zh-CN"/>
        </w:rPr>
      </w:pPr>
      <w:r>
        <w:rPr>
          <w:rFonts w:hint="eastAsia" w:ascii="仿宋" w:hAnsi="仿宋" w:eastAsia="仿宋" w:cs="Arial Unicode MS"/>
          <w:szCs w:val="18"/>
        </w:rPr>
        <w:t>（一）项目</w:t>
      </w:r>
      <w:r>
        <w:rPr>
          <w:rFonts w:hint="eastAsia" w:ascii="仿宋" w:hAnsi="仿宋" w:eastAsia="仿宋" w:cs="Arial Unicode MS"/>
          <w:szCs w:val="18"/>
          <w:lang w:val="en-US" w:eastAsia="zh-CN"/>
        </w:rPr>
        <w:t>本体分析</w:t>
      </w:r>
    </w:p>
    <w:p>
      <w:pPr>
        <w:spacing w:line="300" w:lineRule="auto"/>
        <w:rPr>
          <w:rFonts w:hint="eastAsia" w:ascii="仿宋" w:hAnsi="仿宋" w:eastAsia="仿宋" w:cs="Times New Roman"/>
          <w:szCs w:val="21"/>
          <w:lang w:val="en-US" w:eastAsia="zh-CN"/>
        </w:rPr>
      </w:pPr>
      <w:r>
        <w:rPr>
          <w:rFonts w:hint="eastAsia" w:ascii="仿宋" w:hAnsi="仿宋" w:eastAsia="仿宋" w:cs="Times New Roman"/>
          <w:szCs w:val="21"/>
        </w:rPr>
        <w:t>（二）项目</w:t>
      </w:r>
      <w:r>
        <w:rPr>
          <w:rFonts w:hint="eastAsia" w:ascii="仿宋" w:hAnsi="仿宋" w:eastAsia="仿宋" w:cs="Times New Roman"/>
          <w:szCs w:val="21"/>
          <w:lang w:val="en-US" w:eastAsia="zh-CN"/>
        </w:rPr>
        <w:t>市场调研</w:t>
      </w:r>
    </w:p>
    <w:p>
      <w:pPr>
        <w:spacing w:line="300" w:lineRule="auto"/>
        <w:rPr>
          <w:rFonts w:hint="default" w:ascii="仿宋" w:hAnsi="仿宋" w:eastAsia="仿宋" w:cs="Times New Roman"/>
          <w:szCs w:val="21"/>
          <w:lang w:val="en-US"/>
        </w:rPr>
      </w:pPr>
      <w:r>
        <w:rPr>
          <w:rFonts w:hint="eastAsia" w:ascii="仿宋" w:hAnsi="仿宋" w:eastAsia="仿宋" w:cs="Times New Roman"/>
          <w:szCs w:val="21"/>
        </w:rPr>
        <w:t>（三）项目</w:t>
      </w:r>
      <w:r>
        <w:rPr>
          <w:rFonts w:hint="eastAsia" w:ascii="仿宋" w:hAnsi="仿宋" w:eastAsia="仿宋" w:cs="Times New Roman"/>
          <w:szCs w:val="21"/>
          <w:lang w:val="en-US" w:eastAsia="zh-CN"/>
        </w:rPr>
        <w:t>定位分析</w:t>
      </w:r>
    </w:p>
    <w:p>
      <w:pPr>
        <w:spacing w:line="300" w:lineRule="auto"/>
        <w:rPr>
          <w:rFonts w:hint="default" w:ascii="仿宋" w:hAnsi="仿宋" w:eastAsia="仿宋" w:cs="Times New Roman"/>
          <w:szCs w:val="21"/>
          <w:lang w:val="en-US"/>
        </w:rPr>
      </w:pPr>
      <w:r>
        <w:rPr>
          <w:rFonts w:hint="eastAsia" w:ascii="仿宋" w:hAnsi="仿宋" w:eastAsia="仿宋" w:cs="Times New Roman"/>
          <w:szCs w:val="21"/>
        </w:rPr>
        <w:t>（四）</w:t>
      </w:r>
      <w:r>
        <w:rPr>
          <w:rFonts w:hint="eastAsia" w:ascii="仿宋" w:hAnsi="仿宋" w:eastAsia="仿宋" w:cs="Times New Roman"/>
          <w:szCs w:val="21"/>
          <w:lang w:val="en-US" w:eastAsia="zh-CN"/>
        </w:rPr>
        <w:t>项目产品分析</w:t>
      </w:r>
    </w:p>
    <w:p>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五</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项目落位规划</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六</w:t>
      </w:r>
      <w:r>
        <w:rPr>
          <w:rFonts w:hint="eastAsia" w:ascii="仿宋" w:hAnsi="仿宋" w:eastAsia="仿宋" w:cs="Times New Roman"/>
          <w:szCs w:val="21"/>
        </w:rPr>
        <w:t>）项目服务团队</w:t>
      </w: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r>
        <w:rPr>
          <w:rFonts w:hint="eastAsia" w:ascii="仿宋" w:hAnsi="仿宋" w:eastAsia="仿宋" w:cs="Times New Roman"/>
          <w:szCs w:val="21"/>
        </w:rPr>
        <w:t>竞投人名称</w:t>
      </w:r>
      <w:r>
        <w:rPr>
          <w:rFonts w:ascii="仿宋" w:hAnsi="仿宋" w:eastAsia="仿宋" w:cs="Times New Roman"/>
          <w:szCs w:val="21"/>
        </w:rPr>
        <w:t>:</w:t>
      </w:r>
      <w:r>
        <w:rPr>
          <w:rFonts w:hint="eastAsia" w:ascii="仿宋" w:hAnsi="仿宋" w:eastAsia="仿宋" w:cs="Times New Roman"/>
          <w:szCs w:val="21"/>
        </w:rPr>
        <w:t xml:space="preserve"> </w:t>
      </w:r>
      <w:r>
        <w:rPr>
          <w:rFonts w:hint="eastAsia" w:ascii="仿宋" w:hAnsi="仿宋" w:eastAsia="仿宋" w:cs="Times New Roman"/>
          <w:szCs w:val="21"/>
          <w:u w:val="single"/>
        </w:rPr>
        <w:t xml:space="preserve">                     </w:t>
      </w:r>
      <w:r>
        <w:rPr>
          <w:rFonts w:hint="eastAsia" w:ascii="仿宋" w:hAnsi="仿宋" w:eastAsia="仿宋" w:cs="Times New Roman"/>
          <w:szCs w:val="21"/>
        </w:rPr>
        <w:t>（公章）</w:t>
      </w:r>
    </w:p>
    <w:p>
      <w:pPr>
        <w:spacing w:line="300" w:lineRule="auto"/>
        <w:rPr>
          <w:rFonts w:ascii="仿宋" w:hAnsi="仿宋" w:eastAsia="仿宋" w:cs="Times New Roman"/>
          <w:szCs w:val="21"/>
        </w:rPr>
      </w:pPr>
    </w:p>
    <w:p>
      <w:pPr>
        <w:spacing w:line="300" w:lineRule="auto"/>
        <w:rPr>
          <w:rFonts w:ascii="仿宋" w:hAnsi="仿宋" w:eastAsia="仿宋" w:cs="Times New Roman"/>
          <w:szCs w:val="21"/>
          <w:u w:val="single"/>
        </w:rPr>
      </w:pPr>
      <w:r>
        <w:rPr>
          <w:rFonts w:hint="eastAsia" w:ascii="仿宋" w:hAnsi="仿宋" w:eastAsia="仿宋" w:cs="Times New Roman"/>
          <w:szCs w:val="21"/>
        </w:rPr>
        <w:t>竞投</w:t>
      </w:r>
      <w:r>
        <w:rPr>
          <w:rFonts w:hint="eastAsia" w:ascii="仿宋" w:hAnsi="仿宋" w:eastAsia="仿宋" w:cs="Times New Roman"/>
          <w:szCs w:val="24"/>
        </w:rPr>
        <w:t>人授权代表签字</w:t>
      </w:r>
      <w:r>
        <w:rPr>
          <w:rFonts w:hint="eastAsia" w:ascii="仿宋" w:hAnsi="仿宋" w:eastAsia="仿宋" w:cs="Times New Roman"/>
          <w:szCs w:val="21"/>
        </w:rPr>
        <w:t>（签名）：</w:t>
      </w:r>
      <w:r>
        <w:rPr>
          <w:rFonts w:hint="eastAsia" w:ascii="仿宋" w:hAnsi="仿宋" w:eastAsia="仿宋" w:cs="Times New Roman"/>
          <w:szCs w:val="21"/>
          <w:u w:val="single"/>
        </w:rPr>
        <w:t xml:space="preserve">               </w:t>
      </w:r>
    </w:p>
    <w:p>
      <w:pPr>
        <w:spacing w:line="300" w:lineRule="auto"/>
        <w:rPr>
          <w:rFonts w:ascii="仿宋" w:hAnsi="仿宋" w:eastAsia="仿宋" w:cs="Times New Roman"/>
          <w:szCs w:val="21"/>
          <w:u w:val="single"/>
        </w:rPr>
      </w:pPr>
    </w:p>
    <w:p>
      <w:pPr>
        <w:spacing w:line="300" w:lineRule="auto"/>
        <w:rPr>
          <w:rFonts w:ascii="仿宋" w:hAnsi="仿宋" w:eastAsia="仿宋" w:cs="Times New Roman"/>
          <w:b/>
          <w:sz w:val="10"/>
          <w:szCs w:val="24"/>
        </w:rPr>
      </w:pPr>
      <w:r>
        <w:rPr>
          <w:rFonts w:hint="eastAsia" w:ascii="仿宋" w:hAnsi="仿宋" w:eastAsia="仿宋" w:cs="Times New Roman"/>
          <w:szCs w:val="21"/>
        </w:rPr>
        <w:t>日期：  年   月   日</w:t>
      </w:r>
    </w:p>
    <w:p>
      <w:pPr>
        <w:spacing w:line="400" w:lineRule="exact"/>
        <w:rPr>
          <w:rFonts w:ascii="宋体" w:hAnsi="宋体" w:eastAsia="宋体" w:cs="Times New Roman"/>
          <w:szCs w:val="21"/>
          <w:u w:val="single"/>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spacing w:line="600" w:lineRule="exact"/>
        <w:jc w:val="center"/>
        <w:rPr>
          <w:rFonts w:ascii="宋体" w:hAnsi="宋体" w:eastAsia="宋体" w:cs="仿宋"/>
          <w:b/>
          <w:sz w:val="36"/>
          <w:szCs w:val="36"/>
        </w:rPr>
      </w:pPr>
    </w:p>
    <w:p>
      <w:pPr>
        <w:rPr>
          <w:rFonts w:ascii="Calibri" w:hAnsi="Calibri"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3464F"/>
    <w:multiLevelType w:val="singleLevel"/>
    <w:tmpl w:val="FFC3464F"/>
    <w:lvl w:ilvl="0" w:tentative="0">
      <w:start w:val="1"/>
      <w:numFmt w:val="bullet"/>
      <w:lvlText w:val=""/>
      <w:lvlJc w:val="left"/>
      <w:pPr>
        <w:ind w:left="420" w:hanging="420"/>
      </w:pPr>
      <w:rPr>
        <w:rFonts w:hint="default" w:ascii="Wingdings" w:hAnsi="Wingdings"/>
      </w:rPr>
    </w:lvl>
  </w:abstractNum>
  <w:abstractNum w:abstractNumId="1">
    <w:nsid w:val="0F7367C6"/>
    <w:multiLevelType w:val="multilevel"/>
    <w:tmpl w:val="0F7367C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3A6356"/>
    <w:multiLevelType w:val="multilevel"/>
    <w:tmpl w:val="163A63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64066C"/>
    <w:multiLevelType w:val="multilevel"/>
    <w:tmpl w:val="266406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AD1FED"/>
    <w:multiLevelType w:val="singleLevel"/>
    <w:tmpl w:val="38AD1FED"/>
    <w:lvl w:ilvl="0" w:tentative="0">
      <w:start w:val="1"/>
      <w:numFmt w:val="decimal"/>
      <w:suff w:val="nothing"/>
      <w:lvlText w:val="（%1）"/>
      <w:lvlJc w:val="left"/>
    </w:lvl>
  </w:abstractNum>
  <w:abstractNum w:abstractNumId="6">
    <w:nsid w:val="48540ED4"/>
    <w:multiLevelType w:val="multilevel"/>
    <w:tmpl w:val="48540E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8">
    <w:nsid w:val="54F21AC9"/>
    <w:multiLevelType w:val="multilevel"/>
    <w:tmpl w:val="54F21AC9"/>
    <w:lvl w:ilvl="0" w:tentative="0">
      <w:start w:val="1"/>
      <w:numFmt w:val="bullet"/>
      <w:lvlText w:val="•"/>
      <w:lvlJc w:val="left"/>
      <w:pPr>
        <w:ind w:left="1140" w:hanging="420"/>
      </w:pPr>
      <w:rPr>
        <w:rFonts w:hint="default" w:ascii="Arial" w:hAnsi="Aria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F9DCBC6"/>
    <w:multiLevelType w:val="singleLevel"/>
    <w:tmpl w:val="5F9DCBC6"/>
    <w:lvl w:ilvl="0" w:tentative="0">
      <w:start w:val="14"/>
      <w:numFmt w:val="chineseCounting"/>
      <w:suff w:val="nothing"/>
      <w:lvlText w:val="第%1条、"/>
      <w:lvlJc w:val="left"/>
      <w:rPr>
        <w:rFonts w:hint="eastAsia"/>
      </w:rPr>
    </w:lvl>
  </w:abstractNum>
  <w:abstractNum w:abstractNumId="11">
    <w:nsid w:val="620115C1"/>
    <w:multiLevelType w:val="singleLevel"/>
    <w:tmpl w:val="620115C1"/>
    <w:lvl w:ilvl="0" w:tentative="0">
      <w:start w:val="1"/>
      <w:numFmt w:val="chineseCounting"/>
      <w:suff w:val="nothing"/>
      <w:lvlText w:val="%1、"/>
      <w:lvlJc w:val="left"/>
      <w:rPr>
        <w:rFonts w:hint="eastAsia"/>
      </w:rPr>
    </w:lvl>
  </w:abstractNum>
  <w:abstractNum w:abstractNumId="12">
    <w:nsid w:val="69F2273B"/>
    <w:multiLevelType w:val="multilevel"/>
    <w:tmpl w:val="69F2273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526CC3"/>
    <w:multiLevelType w:val="multilevel"/>
    <w:tmpl w:val="73526CC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A1D06E7"/>
    <w:multiLevelType w:val="multilevel"/>
    <w:tmpl w:val="7A1D06E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3"/>
  </w:num>
  <w:num w:numId="4">
    <w:abstractNumId w:val="5"/>
  </w:num>
  <w:num w:numId="5">
    <w:abstractNumId w:val="3"/>
  </w:num>
  <w:num w:numId="6">
    <w:abstractNumId w:val="9"/>
  </w:num>
  <w:num w:numId="7">
    <w:abstractNumId w:val="10"/>
  </w:num>
  <w:num w:numId="8">
    <w:abstractNumId w:val="15"/>
  </w:num>
  <w:num w:numId="9">
    <w:abstractNumId w:val="6"/>
  </w:num>
  <w:num w:numId="10">
    <w:abstractNumId w:val="2"/>
  </w:num>
  <w:num w:numId="11">
    <w:abstractNumId w:val="12"/>
  </w:num>
  <w:num w:numId="12">
    <w:abstractNumId w:val="8"/>
  </w:num>
  <w:num w:numId="13">
    <w:abstractNumId w:val="14"/>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WZjZGZiNGFlOTQ0ZWJmMDk3NjE0ODVlYmYxMzE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146468C"/>
    <w:rsid w:val="02F112FE"/>
    <w:rsid w:val="051A32F4"/>
    <w:rsid w:val="06DD3837"/>
    <w:rsid w:val="07616CE3"/>
    <w:rsid w:val="0BEA0362"/>
    <w:rsid w:val="0CDA5969"/>
    <w:rsid w:val="0D6C609B"/>
    <w:rsid w:val="0EA915DA"/>
    <w:rsid w:val="0F9F3B9F"/>
    <w:rsid w:val="17001131"/>
    <w:rsid w:val="1A2C5DA2"/>
    <w:rsid w:val="1C091BDF"/>
    <w:rsid w:val="21BF6877"/>
    <w:rsid w:val="232E6EC3"/>
    <w:rsid w:val="256C5817"/>
    <w:rsid w:val="25B120C1"/>
    <w:rsid w:val="25BE3CA0"/>
    <w:rsid w:val="25E84DC8"/>
    <w:rsid w:val="262922CC"/>
    <w:rsid w:val="282F2935"/>
    <w:rsid w:val="28B153F6"/>
    <w:rsid w:val="291B3AC5"/>
    <w:rsid w:val="2A9F153F"/>
    <w:rsid w:val="2CCA1365"/>
    <w:rsid w:val="2D873E14"/>
    <w:rsid w:val="2DA004CD"/>
    <w:rsid w:val="32165BAA"/>
    <w:rsid w:val="36495606"/>
    <w:rsid w:val="37390197"/>
    <w:rsid w:val="390D08A6"/>
    <w:rsid w:val="395F28FE"/>
    <w:rsid w:val="3BBD597A"/>
    <w:rsid w:val="3E9400F5"/>
    <w:rsid w:val="3F6F548D"/>
    <w:rsid w:val="3FF91C51"/>
    <w:rsid w:val="41D426C5"/>
    <w:rsid w:val="42F022FE"/>
    <w:rsid w:val="43093278"/>
    <w:rsid w:val="445621F6"/>
    <w:rsid w:val="46006AB7"/>
    <w:rsid w:val="49C050AE"/>
    <w:rsid w:val="4A4213E1"/>
    <w:rsid w:val="4BEE4C27"/>
    <w:rsid w:val="4C41689C"/>
    <w:rsid w:val="4C856040"/>
    <w:rsid w:val="4F575F9B"/>
    <w:rsid w:val="4FBA61C8"/>
    <w:rsid w:val="52BC0B2D"/>
    <w:rsid w:val="532C53CA"/>
    <w:rsid w:val="53A91585"/>
    <w:rsid w:val="552705DC"/>
    <w:rsid w:val="559E4D4B"/>
    <w:rsid w:val="57FA1292"/>
    <w:rsid w:val="5A327747"/>
    <w:rsid w:val="5C154191"/>
    <w:rsid w:val="5C6B75B7"/>
    <w:rsid w:val="5D1328DC"/>
    <w:rsid w:val="5D193A39"/>
    <w:rsid w:val="5E0B7843"/>
    <w:rsid w:val="5EEB573C"/>
    <w:rsid w:val="622D62F7"/>
    <w:rsid w:val="62C7688D"/>
    <w:rsid w:val="646B61B6"/>
    <w:rsid w:val="6F6315DA"/>
    <w:rsid w:val="6FC4797A"/>
    <w:rsid w:val="70063FF7"/>
    <w:rsid w:val="707065AF"/>
    <w:rsid w:val="711B488C"/>
    <w:rsid w:val="73677D09"/>
    <w:rsid w:val="74985085"/>
    <w:rsid w:val="79B9046D"/>
    <w:rsid w:val="79F54476"/>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left="720"/>
    </w:pPr>
    <w:rPr>
      <w:kern w:val="0"/>
      <w:sz w:val="24"/>
    </w:r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page number"/>
    <w:basedOn w:val="7"/>
    <w:qFormat/>
    <w:uiPriority w:val="0"/>
  </w:style>
  <w:style w:type="character" w:customStyle="1" w:styleId="9">
    <w:name w:val="页眉 字符"/>
    <w:basedOn w:val="7"/>
    <w:link w:val="5"/>
    <w:qFormat/>
    <w:uiPriority w:val="0"/>
    <w:rPr>
      <w:rFonts w:ascii="Times New Roman" w:hAnsi="Times New Roman" w:eastAsia="宋体" w:cs="Times New Roman"/>
      <w:sz w:val="18"/>
      <w:szCs w:val="20"/>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character" w:customStyle="1" w:styleId="12">
    <w:name w:val="font61"/>
    <w:qFormat/>
    <w:uiPriority w:val="0"/>
    <w:rPr>
      <w:rFonts w:hint="eastAsia" w:ascii="微软雅黑" w:hAnsi="微软雅黑" w:eastAsia="微软雅黑" w:cs="微软雅黑"/>
      <w:b/>
      <w:color w:val="000000"/>
      <w:sz w:val="20"/>
      <w:szCs w:val="20"/>
      <w:u w:val="none"/>
    </w:rPr>
  </w:style>
  <w:style w:type="character" w:customStyle="1" w:styleId="13">
    <w:name w:val="font21"/>
    <w:qFormat/>
    <w:uiPriority w:val="0"/>
    <w:rPr>
      <w:rFonts w:hint="eastAsia" w:ascii="微软雅黑" w:hAnsi="微软雅黑" w:eastAsia="微软雅黑" w:cs="微软雅黑"/>
      <w:b/>
      <w:color w:val="000000"/>
      <w:sz w:val="24"/>
      <w:szCs w:val="24"/>
      <w:u w:val="none"/>
    </w:rPr>
  </w:style>
  <w:style w:type="character" w:customStyle="1" w:styleId="14">
    <w:name w:val="font121"/>
    <w:qFormat/>
    <w:uiPriority w:val="0"/>
    <w:rPr>
      <w:rFonts w:hint="eastAsia" w:ascii="微软雅黑" w:hAnsi="微软雅黑" w:eastAsia="微软雅黑" w:cs="微软雅黑"/>
      <w:b/>
      <w:color w:val="000000"/>
      <w:sz w:val="20"/>
      <w:szCs w:val="20"/>
      <w:u w:val="none"/>
    </w:rPr>
  </w:style>
  <w:style w:type="character" w:customStyle="1" w:styleId="15">
    <w:name w:val="批注框文本 字符"/>
    <w:basedOn w:val="7"/>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character" w:customStyle="1" w:styleId="17">
    <w:name w:val="font01"/>
    <w:qFormat/>
    <w:uiPriority w:val="0"/>
    <w:rPr>
      <w:rFonts w:hint="eastAsia" w:ascii="微软雅黑" w:hAnsi="微软雅黑" w:eastAsia="微软雅黑" w:cs="微软雅黑"/>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43</Pages>
  <Words>15806</Words>
  <Characters>16294</Characters>
  <Lines>87</Lines>
  <Paragraphs>24</Paragraphs>
  <TotalTime>2</TotalTime>
  <ScaleCrop>false</ScaleCrop>
  <LinksUpToDate>false</LinksUpToDate>
  <CharactersWithSpaces>17391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Zhao</cp:lastModifiedBy>
  <cp:lastPrinted>2022-08-08T09:02:00Z</cp:lastPrinted>
  <dcterms:modified xsi:type="dcterms:W3CDTF">2022-10-21T03:19:29Z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47DBF401DEA14C0C96E4048440F34881</vt:lpwstr>
  </property>
</Properties>
</file>