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_GB2312" w:hAnsi="宋体" w:eastAsia="仿宋_GB2312"/>
          <w:b/>
          <w:spacing w:val="100"/>
          <w:sz w:val="96"/>
          <w:szCs w:val="96"/>
        </w:rPr>
      </w:pPr>
    </w:p>
    <w:p>
      <w:pPr>
        <w:jc w:val="center"/>
        <w:rPr>
          <w:rFonts w:ascii="仿宋_GB2312" w:hAnsi="宋体" w:eastAsia="仿宋_GB2312"/>
          <w:bCs/>
          <w:color w:val="000000"/>
          <w:w w:val="150"/>
          <w:sz w:val="30"/>
          <w:szCs w:val="30"/>
        </w:rPr>
      </w:pPr>
      <w:r>
        <w:rPr>
          <w:rFonts w:hint="eastAsia" w:ascii="黑体" w:hAnsi="黑体" w:eastAsia="黑体" w:cs="黑体"/>
          <w:b/>
          <w:color w:val="000000"/>
          <w:sz w:val="52"/>
          <w:szCs w:val="52"/>
        </w:rPr>
        <w:t xml:space="preserve"> </w:t>
      </w:r>
    </w:p>
    <w:p>
      <w:pPr>
        <w:spacing w:line="360" w:lineRule="auto"/>
        <w:jc w:val="center"/>
        <w:rPr>
          <w:rFonts w:ascii="楷体" w:hAnsi="楷体" w:eastAsia="楷体"/>
          <w:b/>
          <w:sz w:val="52"/>
          <w:szCs w:val="48"/>
        </w:rPr>
      </w:pPr>
      <w:r>
        <w:rPr>
          <w:rFonts w:hint="eastAsia" w:ascii="楷体" w:hAnsi="楷体" w:eastAsia="楷体"/>
          <w:b/>
          <w:sz w:val="52"/>
          <w:szCs w:val="48"/>
        </w:rPr>
        <w:t>禧悦府项目</w:t>
      </w:r>
    </w:p>
    <w:p>
      <w:pPr>
        <w:spacing w:line="360" w:lineRule="auto"/>
        <w:jc w:val="center"/>
        <w:rPr>
          <w:rFonts w:ascii="楷体" w:hAnsi="楷体" w:eastAsia="楷体"/>
          <w:b/>
          <w:sz w:val="52"/>
          <w:szCs w:val="48"/>
        </w:rPr>
      </w:pPr>
      <w:r>
        <w:rPr>
          <w:rFonts w:hint="eastAsia" w:ascii="楷体" w:hAnsi="楷体" w:eastAsia="楷体"/>
          <w:b/>
          <w:sz w:val="52"/>
          <w:szCs w:val="48"/>
          <w:lang w:eastAsia="zh-CN"/>
        </w:rPr>
        <w:t>停车场及导视围挡物料制作</w:t>
      </w:r>
      <w:r>
        <w:rPr>
          <w:rFonts w:hint="eastAsia" w:ascii="楷体" w:hAnsi="楷体" w:eastAsia="楷体"/>
          <w:b/>
          <w:sz w:val="52"/>
          <w:szCs w:val="48"/>
        </w:rPr>
        <w:t>服务采购项目</w:t>
      </w: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cs="Adobe 楷体 Std R"/>
          <w:b/>
          <w:w w:val="150"/>
          <w:sz w:val="18"/>
          <w:szCs w:val="18"/>
        </w:rPr>
      </w:pPr>
    </w:p>
    <w:p>
      <w:pPr>
        <w:spacing w:line="360" w:lineRule="auto"/>
        <w:jc w:val="center"/>
        <w:rPr>
          <w:rFonts w:ascii="楷体" w:hAnsi="楷体" w:eastAsia="楷体"/>
          <w:b/>
          <w:sz w:val="84"/>
          <w:szCs w:val="84"/>
        </w:rPr>
      </w:pPr>
      <w:r>
        <w:rPr>
          <w:rFonts w:hint="eastAsia" w:ascii="楷体" w:hAnsi="楷体" w:eastAsia="楷体"/>
          <w:b/>
          <w:sz w:val="84"/>
          <w:szCs w:val="84"/>
        </w:rPr>
        <w:t>竞选采购文件</w:t>
      </w:r>
    </w:p>
    <w:p>
      <w:pPr>
        <w:ind w:firstLine="1247" w:firstLineChars="345"/>
        <w:rPr>
          <w:rFonts w:ascii="楷体" w:hAnsi="楷体" w:eastAsia="楷体"/>
          <w:b/>
          <w:bCs/>
          <w:sz w:val="36"/>
          <w:szCs w:val="36"/>
        </w:rPr>
      </w:pPr>
    </w:p>
    <w:p>
      <w:pPr>
        <w:rPr>
          <w:rFonts w:ascii="楷体" w:hAnsi="楷体" w:eastAsia="楷体"/>
          <w:b/>
          <w:bCs/>
          <w:sz w:val="36"/>
          <w:szCs w:val="36"/>
        </w:rPr>
      </w:pPr>
    </w:p>
    <w:p>
      <w:pPr>
        <w:ind w:firstLine="1247" w:firstLineChars="345"/>
        <w:rPr>
          <w:rFonts w:ascii="楷体" w:hAnsi="楷体" w:eastAsia="楷体"/>
          <w:b/>
          <w:bCs/>
          <w:sz w:val="36"/>
          <w:szCs w:val="36"/>
        </w:rPr>
      </w:pPr>
    </w:p>
    <w:p>
      <w:pPr>
        <w:ind w:firstLine="1247" w:firstLineChars="345"/>
        <w:rPr>
          <w:rFonts w:ascii="楷体" w:hAnsi="楷体" w:eastAsia="楷体"/>
          <w:b/>
          <w:bCs/>
          <w:sz w:val="36"/>
          <w:szCs w:val="36"/>
        </w:rPr>
      </w:pPr>
    </w:p>
    <w:p>
      <w:pPr>
        <w:rPr>
          <w:rFonts w:ascii="楷体" w:hAnsi="楷体" w:eastAsia="楷体"/>
          <w:b/>
          <w:bCs/>
          <w:sz w:val="36"/>
          <w:szCs w:val="36"/>
        </w:rPr>
      </w:pPr>
    </w:p>
    <w:p>
      <w:pPr>
        <w:rPr>
          <w:rFonts w:ascii="楷体" w:hAnsi="楷体" w:eastAsia="楷体"/>
          <w:b/>
          <w:bCs/>
          <w:sz w:val="36"/>
          <w:szCs w:val="36"/>
        </w:rPr>
      </w:pPr>
    </w:p>
    <w:p>
      <w:pPr>
        <w:jc w:val="center"/>
        <w:rPr>
          <w:rFonts w:ascii="楷体" w:hAnsi="楷体" w:eastAsia="楷体" w:cs="宋体"/>
          <w:b/>
          <w:bCs/>
          <w:sz w:val="36"/>
          <w:szCs w:val="36"/>
        </w:rPr>
      </w:pPr>
    </w:p>
    <w:p>
      <w:pPr>
        <w:ind w:firstLine="2400" w:firstLineChars="747"/>
        <w:jc w:val="center"/>
        <w:rPr>
          <w:rFonts w:ascii="楷体" w:hAnsi="楷体" w:eastAsia="楷体" w:cs="宋体"/>
          <w:b/>
          <w:bCs/>
          <w:sz w:val="32"/>
          <w:szCs w:val="32"/>
        </w:rPr>
      </w:pPr>
    </w:p>
    <w:p>
      <w:pPr>
        <w:jc w:val="center"/>
        <w:rPr>
          <w:rFonts w:ascii="楷体" w:hAnsi="楷体" w:eastAsia="楷体" w:cs="宋体"/>
          <w:b/>
          <w:bCs/>
          <w:color w:val="000000"/>
          <w:sz w:val="32"/>
          <w:szCs w:val="32"/>
        </w:rPr>
      </w:pPr>
      <w:r>
        <w:rPr>
          <w:rFonts w:hint="eastAsia" w:ascii="楷体" w:hAnsi="楷体" w:eastAsia="楷体" w:cs="宋体"/>
          <w:b/>
          <w:bCs/>
          <w:sz w:val="32"/>
          <w:szCs w:val="32"/>
        </w:rPr>
        <w:t>2022</w:t>
      </w:r>
      <w:r>
        <w:rPr>
          <w:rFonts w:hint="eastAsia" w:ascii="楷体" w:hAnsi="楷体" w:eastAsia="楷体" w:cs="宋体"/>
          <w:b/>
          <w:bCs/>
          <w:color w:val="000000"/>
          <w:sz w:val="32"/>
          <w:szCs w:val="32"/>
        </w:rPr>
        <w:t>年</w:t>
      </w:r>
      <w:r>
        <w:rPr>
          <w:rFonts w:hint="eastAsia" w:ascii="楷体" w:hAnsi="楷体" w:eastAsia="楷体" w:cs="宋体"/>
          <w:b/>
          <w:bCs/>
          <w:color w:val="000000"/>
          <w:sz w:val="32"/>
          <w:szCs w:val="32"/>
          <w:lang w:val="en-US" w:eastAsia="zh-CN"/>
        </w:rPr>
        <w:t>8</w:t>
      </w:r>
      <w:r>
        <w:rPr>
          <w:rFonts w:hint="eastAsia" w:ascii="楷体" w:hAnsi="楷体" w:eastAsia="楷体" w:cs="宋体"/>
          <w:b/>
          <w:bCs/>
          <w:color w:val="000000"/>
          <w:sz w:val="32"/>
          <w:szCs w:val="32"/>
        </w:rPr>
        <w:t>月</w:t>
      </w:r>
      <w:r>
        <w:rPr>
          <w:rFonts w:hint="eastAsia" w:ascii="楷体" w:hAnsi="楷体" w:eastAsia="楷体" w:cs="宋体"/>
          <w:b/>
          <w:bCs/>
          <w:color w:val="000000"/>
          <w:sz w:val="32"/>
          <w:szCs w:val="32"/>
          <w:lang w:val="en-US" w:eastAsia="zh-CN"/>
        </w:rPr>
        <w:t>6</w:t>
      </w:r>
      <w:r>
        <w:rPr>
          <w:rFonts w:hint="eastAsia" w:ascii="楷体" w:hAnsi="楷体" w:eastAsia="楷体" w:cs="宋体"/>
          <w:b/>
          <w:bCs/>
          <w:color w:val="000000"/>
          <w:sz w:val="32"/>
          <w:szCs w:val="32"/>
        </w:rPr>
        <w:t>日</w:t>
      </w:r>
    </w:p>
    <w:p>
      <w:pPr>
        <w:jc w:val="center"/>
        <w:rPr>
          <w:rFonts w:ascii="仿宋_GB2312" w:eastAsia="仿宋_GB2312"/>
        </w:rPr>
      </w:pPr>
    </w:p>
    <w:p>
      <w:pPr>
        <w:pStyle w:val="5"/>
        <w:keepLines w:val="0"/>
        <w:spacing w:before="0" w:after="0" w:line="360" w:lineRule="auto"/>
        <w:ind w:right="-441" w:rightChars="-210"/>
        <w:jc w:val="center"/>
        <w:rPr>
          <w:rFonts w:ascii="仿宋_GB2312" w:hAnsi="宋体" w:eastAsia="仿宋_GB2312" w:cs="宋体"/>
          <w:spacing w:val="20"/>
          <w:sz w:val="32"/>
          <w:szCs w:val="32"/>
        </w:rPr>
      </w:pPr>
      <w:bookmarkStart w:id="0" w:name="_Toc334797727"/>
      <w:r>
        <w:rPr>
          <w:rFonts w:ascii="仿宋_GB2312" w:hAnsi="宋体" w:eastAsia="仿宋_GB2312" w:cs="宋体"/>
          <w:spacing w:val="20"/>
          <w:sz w:val="32"/>
          <w:szCs w:val="32"/>
        </w:rPr>
        <w:br w:type="page"/>
      </w:r>
      <w:r>
        <w:rPr>
          <w:rFonts w:hint="eastAsia" w:ascii="仿宋_GB2312" w:hAnsi="宋体" w:eastAsia="仿宋_GB2312" w:cs="宋体"/>
          <w:spacing w:val="20"/>
          <w:sz w:val="32"/>
          <w:szCs w:val="32"/>
        </w:rPr>
        <w:t>一、竞选采购公告</w:t>
      </w:r>
      <w:bookmarkEnd w:id="0"/>
    </w:p>
    <w:p>
      <w:pPr>
        <w:widowControl/>
        <w:spacing w:line="360" w:lineRule="auto"/>
        <w:ind w:firstLine="480"/>
        <w:rPr>
          <w:rFonts w:ascii="仿宋" w:hAnsi="仿宋" w:eastAsia="仿宋" w:cs="仿宋_GB2312"/>
          <w:kern w:val="0"/>
          <w:szCs w:val="21"/>
        </w:rPr>
      </w:pPr>
    </w:p>
    <w:p>
      <w:pPr>
        <w:widowControl/>
        <w:spacing w:line="360" w:lineRule="auto"/>
        <w:ind w:firstLine="480"/>
        <w:rPr>
          <w:rFonts w:ascii="仿宋" w:hAnsi="仿宋" w:eastAsia="仿宋" w:cs="仿宋_GB2312"/>
          <w:kern w:val="0"/>
          <w:sz w:val="24"/>
        </w:rPr>
      </w:pPr>
      <w:bookmarkStart w:id="1" w:name="OLE_LINK7"/>
      <w:bookmarkStart w:id="2" w:name="_Toc130180842"/>
      <w:bookmarkStart w:id="3" w:name="_Toc130180737"/>
      <w:bookmarkStart w:id="4" w:name="_Toc334797738"/>
      <w:bookmarkStart w:id="5" w:name="_Toc130180923"/>
      <w:bookmarkStart w:id="6" w:name="_Toc238282338"/>
      <w:r>
        <w:rPr>
          <w:rFonts w:hint="eastAsia" w:ascii="仿宋" w:hAnsi="仿宋" w:eastAsia="仿宋" w:cs="仿宋_GB2312"/>
          <w:kern w:val="0"/>
          <w:sz w:val="24"/>
        </w:rPr>
        <w:t>根据有关法律法规及相关采购管理规定，本着公平、公正、公开原则，拟对禧悦府项目</w:t>
      </w:r>
      <w:r>
        <w:rPr>
          <w:rFonts w:hint="eastAsia" w:ascii="仿宋" w:hAnsi="仿宋" w:eastAsia="仿宋" w:cs="仿宋_GB2312"/>
          <w:kern w:val="0"/>
          <w:sz w:val="24"/>
          <w:lang w:eastAsia="zh-CN"/>
        </w:rPr>
        <w:t>停车场及导视围挡物料制作</w:t>
      </w:r>
      <w:r>
        <w:rPr>
          <w:rFonts w:hint="eastAsia" w:ascii="仿宋" w:hAnsi="仿宋" w:eastAsia="仿宋" w:cs="仿宋_GB2312"/>
          <w:kern w:val="0"/>
          <w:sz w:val="24"/>
        </w:rPr>
        <w:t>服务项目进行公开竞选采购，按竞选采购程序选定相应服务单位，现将该竞选采购项目相关信息对外公开发布。</w:t>
      </w:r>
    </w:p>
    <w:p>
      <w:pPr>
        <w:widowControl/>
        <w:spacing w:before="75" w:after="75" w:line="270" w:lineRule="atLeast"/>
        <w:ind w:firstLine="480"/>
        <w:jc w:val="left"/>
        <w:rPr>
          <w:rFonts w:ascii="仿宋" w:hAnsi="仿宋" w:eastAsia="仿宋" w:cs="仿宋_GB2312"/>
          <w:color w:val="000000"/>
          <w:kern w:val="0"/>
          <w:sz w:val="24"/>
          <w:lang w:bidi="ar"/>
        </w:rPr>
      </w:pPr>
      <w:r>
        <w:rPr>
          <w:rFonts w:ascii="仿宋" w:hAnsi="仿宋" w:eastAsia="仿宋" w:cs="仿宋_GB2312"/>
          <w:color w:val="000000"/>
          <w:kern w:val="0"/>
          <w:sz w:val="24"/>
          <w:lang w:bidi="ar"/>
        </w:rPr>
        <w:t>项目名称：</w:t>
      </w:r>
      <w:r>
        <w:rPr>
          <w:rFonts w:hint="eastAsia" w:ascii="仿宋" w:hAnsi="仿宋" w:eastAsia="仿宋" w:cs="仿宋_GB2312"/>
          <w:kern w:val="0"/>
          <w:sz w:val="24"/>
        </w:rPr>
        <w:t>禧悦府项目</w:t>
      </w:r>
      <w:r>
        <w:rPr>
          <w:rFonts w:hint="eastAsia" w:ascii="仿宋" w:hAnsi="仿宋" w:eastAsia="仿宋" w:cs="仿宋_GB2312"/>
          <w:kern w:val="0"/>
          <w:sz w:val="24"/>
          <w:lang w:eastAsia="zh-CN"/>
        </w:rPr>
        <w:t>停车场及导视围挡物料制作</w:t>
      </w:r>
      <w:r>
        <w:rPr>
          <w:rFonts w:hint="eastAsia" w:ascii="仿宋" w:hAnsi="仿宋" w:eastAsia="仿宋" w:cs="仿宋_GB2312"/>
          <w:kern w:val="0"/>
          <w:sz w:val="24"/>
        </w:rPr>
        <w:t>服务项目</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lang w:bidi="ar"/>
        </w:rPr>
        <w:t>项目内容：</w:t>
      </w:r>
      <w:r>
        <w:rPr>
          <w:rFonts w:hint="eastAsia" w:ascii="仿宋" w:hAnsi="仿宋" w:eastAsia="仿宋" w:cs="仿宋_GB2312"/>
          <w:kern w:val="0"/>
          <w:sz w:val="24"/>
        </w:rPr>
        <w:t>服务单位需按照招选人要求实现禧悦府项目</w:t>
      </w:r>
      <w:r>
        <w:rPr>
          <w:rFonts w:hint="eastAsia" w:ascii="仿宋" w:hAnsi="仿宋" w:eastAsia="仿宋" w:cs="仿宋_GB2312"/>
          <w:kern w:val="0"/>
          <w:sz w:val="24"/>
          <w:lang w:eastAsia="zh-CN"/>
        </w:rPr>
        <w:t>停车场及导视围挡物料制作</w:t>
      </w:r>
      <w:r>
        <w:rPr>
          <w:rFonts w:hint="eastAsia" w:ascii="仿宋" w:hAnsi="仿宋" w:eastAsia="仿宋" w:cs="仿宋_GB2312"/>
          <w:kern w:val="0"/>
          <w:sz w:val="24"/>
        </w:rPr>
        <w:t>服务项目（包括但不限于）：</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1.完成招选人活动区域的现场勘查。</w:t>
      </w:r>
    </w:p>
    <w:p>
      <w:pPr>
        <w:widowControl/>
        <w:spacing w:line="360" w:lineRule="auto"/>
        <w:ind w:firstLine="480"/>
        <w:rPr>
          <w:rFonts w:ascii="仿宋" w:hAnsi="仿宋" w:eastAsia="仿宋" w:cs="仿宋_GB2312"/>
          <w:kern w:val="0"/>
          <w:sz w:val="24"/>
        </w:rPr>
      </w:pPr>
      <w:r>
        <w:rPr>
          <w:rFonts w:hint="eastAsia" w:ascii="仿宋" w:hAnsi="仿宋" w:eastAsia="仿宋" w:cs="仿宋_GB2312"/>
          <w:kern w:val="0"/>
          <w:sz w:val="24"/>
        </w:rPr>
        <w:t>2.其他招选人认为必要的内容。</w:t>
      </w:r>
    </w:p>
    <w:p>
      <w:pPr>
        <w:widowControl/>
        <w:spacing w:line="360" w:lineRule="auto"/>
        <w:ind w:firstLine="480"/>
        <w:rPr>
          <w:rFonts w:ascii="仿宋" w:hAnsi="仿宋" w:eastAsia="仿宋" w:cs="仿宋_GB2312"/>
          <w:kern w:val="0"/>
          <w:sz w:val="24"/>
          <w:lang w:bidi="ar"/>
        </w:rPr>
      </w:pPr>
      <w:r>
        <w:rPr>
          <w:rFonts w:hint="eastAsia" w:ascii="仿宋" w:hAnsi="仿宋" w:eastAsia="仿宋" w:cs="仿宋_GB2312"/>
          <w:kern w:val="0"/>
          <w:sz w:val="24"/>
          <w:lang w:bidi="ar"/>
        </w:rPr>
        <w:t>项目限价：￥</w:t>
      </w:r>
      <w:r>
        <w:rPr>
          <w:rFonts w:hint="eastAsia" w:ascii="仿宋" w:hAnsi="仿宋" w:eastAsia="仿宋" w:cs="仿宋_GB2312"/>
          <w:kern w:val="0"/>
          <w:sz w:val="24"/>
          <w:lang w:val="en-US" w:eastAsia="zh-CN"/>
        </w:rPr>
        <w:t>272440.15</w:t>
      </w:r>
      <w:r>
        <w:rPr>
          <w:rFonts w:hint="eastAsia" w:ascii="仿宋" w:hAnsi="仿宋" w:eastAsia="仿宋" w:cs="仿宋_GB2312"/>
          <w:kern w:val="0"/>
          <w:sz w:val="24"/>
        </w:rPr>
        <w:t>元</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竞投人资格：竞投人须具备实施采购项目所需的配套活动物品经营范围；</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公示时间：2022年</w:t>
      </w:r>
      <w:r>
        <w:rPr>
          <w:rFonts w:hint="eastAsia" w:ascii="仿宋" w:hAnsi="仿宋" w:eastAsia="仿宋" w:cs="仿宋_GB2312"/>
          <w:kern w:val="0"/>
          <w:sz w:val="24"/>
          <w:lang w:val="en-US" w:eastAsia="zh-CN"/>
        </w:rPr>
        <w:t>8</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6</w:t>
      </w:r>
      <w:r>
        <w:rPr>
          <w:rFonts w:hint="eastAsia" w:ascii="仿宋" w:hAnsi="仿宋" w:eastAsia="仿宋" w:cs="仿宋_GB2312"/>
          <w:kern w:val="0"/>
          <w:sz w:val="24"/>
        </w:rPr>
        <w:t>日起至2022 年</w:t>
      </w:r>
      <w:r>
        <w:rPr>
          <w:rFonts w:hint="eastAsia" w:ascii="仿宋" w:hAnsi="仿宋" w:eastAsia="仿宋" w:cs="仿宋_GB2312"/>
          <w:kern w:val="0"/>
          <w:sz w:val="24"/>
          <w:lang w:val="en-US" w:eastAsia="zh-CN"/>
        </w:rPr>
        <w:t>8</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8</w:t>
      </w:r>
      <w:r>
        <w:rPr>
          <w:rFonts w:hint="eastAsia" w:ascii="仿宋" w:hAnsi="仿宋" w:eastAsia="仿宋" w:cs="仿宋_GB2312"/>
          <w:kern w:val="0"/>
          <w:sz w:val="24"/>
        </w:rPr>
        <w:t>止。</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竞投文件递交受理时间自2022 年</w:t>
      </w:r>
      <w:r>
        <w:rPr>
          <w:rFonts w:hint="eastAsia" w:ascii="仿宋" w:hAnsi="仿宋" w:eastAsia="仿宋" w:cs="仿宋_GB2312"/>
          <w:kern w:val="0"/>
          <w:sz w:val="24"/>
          <w:lang w:val="en-US" w:eastAsia="zh-CN"/>
        </w:rPr>
        <w:t>8</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日上午9：</w:t>
      </w:r>
      <w:r>
        <w:rPr>
          <w:rFonts w:hint="eastAsia" w:ascii="仿宋" w:hAnsi="仿宋" w:eastAsia="仿宋" w:cs="仿宋_GB2312"/>
          <w:kern w:val="0"/>
          <w:sz w:val="24"/>
          <w:lang w:val="en-US" w:eastAsia="zh-CN"/>
        </w:rPr>
        <w:t>3</w:t>
      </w:r>
      <w:r>
        <w:rPr>
          <w:rFonts w:hint="eastAsia" w:ascii="仿宋" w:hAnsi="仿宋" w:eastAsia="仿宋" w:cs="仿宋_GB2312"/>
          <w:kern w:val="0"/>
          <w:sz w:val="24"/>
        </w:rPr>
        <w:t>0起至</w:t>
      </w:r>
      <w:r>
        <w:rPr>
          <w:rFonts w:hint="eastAsia" w:ascii="仿宋" w:hAnsi="仿宋" w:eastAsia="仿宋" w:cs="仿宋_GB2312"/>
          <w:kern w:val="0"/>
          <w:sz w:val="24"/>
          <w:lang w:val="en-US" w:eastAsia="zh-CN"/>
        </w:rPr>
        <w:t>10</w:t>
      </w:r>
      <w:r>
        <w:rPr>
          <w:rFonts w:hint="eastAsia" w:ascii="仿宋" w:hAnsi="仿宋" w:eastAsia="仿宋" w:cs="仿宋_GB2312"/>
          <w:kern w:val="0"/>
          <w:sz w:val="24"/>
        </w:rPr>
        <w:t>:</w:t>
      </w:r>
      <w:r>
        <w:rPr>
          <w:rFonts w:hint="eastAsia" w:ascii="仿宋" w:hAnsi="仿宋" w:eastAsia="仿宋" w:cs="仿宋_GB2312"/>
          <w:kern w:val="0"/>
          <w:sz w:val="24"/>
          <w:lang w:val="en-US" w:eastAsia="zh-CN"/>
        </w:rPr>
        <w:t>0</w:t>
      </w:r>
      <w:r>
        <w:rPr>
          <w:rFonts w:hint="eastAsia" w:ascii="仿宋" w:hAnsi="仿宋" w:eastAsia="仿宋" w:cs="仿宋_GB2312"/>
          <w:kern w:val="0"/>
          <w:sz w:val="24"/>
        </w:rPr>
        <w:t>0截止；逾期不予受理。</w:t>
      </w:r>
    </w:p>
    <w:p>
      <w:pPr>
        <w:widowControl/>
        <w:spacing w:line="360" w:lineRule="auto"/>
        <w:ind w:firstLine="480"/>
        <w:rPr>
          <w:rFonts w:hint="eastAsia" w:ascii="仿宋" w:hAnsi="仿宋" w:eastAsia="仿宋" w:cs="仿宋_GB2312"/>
          <w:kern w:val="0"/>
          <w:sz w:val="24"/>
        </w:rPr>
      </w:pPr>
      <w:r>
        <w:rPr>
          <w:rFonts w:hint="eastAsia" w:ascii="仿宋" w:hAnsi="仿宋" w:eastAsia="仿宋" w:cs="仿宋_GB2312"/>
          <w:kern w:val="0"/>
          <w:sz w:val="24"/>
        </w:rPr>
        <w:t>评审时间：2022年</w:t>
      </w:r>
      <w:r>
        <w:rPr>
          <w:rFonts w:hint="eastAsia" w:ascii="仿宋" w:hAnsi="仿宋" w:eastAsia="仿宋" w:cs="仿宋_GB2312"/>
          <w:kern w:val="0"/>
          <w:sz w:val="24"/>
          <w:lang w:val="en-US" w:eastAsia="zh-CN"/>
        </w:rPr>
        <w:t>8</w:t>
      </w:r>
      <w:r>
        <w:rPr>
          <w:rFonts w:hint="eastAsia" w:ascii="仿宋" w:hAnsi="仿宋" w:eastAsia="仿宋" w:cs="仿宋_GB2312"/>
          <w:kern w:val="0"/>
          <w:sz w:val="24"/>
        </w:rPr>
        <w:t>月</w:t>
      </w:r>
      <w:r>
        <w:rPr>
          <w:rFonts w:hint="eastAsia" w:ascii="仿宋" w:hAnsi="仿宋" w:eastAsia="仿宋" w:cs="仿宋_GB2312"/>
          <w:kern w:val="0"/>
          <w:sz w:val="24"/>
          <w:lang w:val="en-US" w:eastAsia="zh-CN"/>
        </w:rPr>
        <w:t>9</w:t>
      </w:r>
      <w:r>
        <w:rPr>
          <w:rFonts w:hint="eastAsia" w:ascii="仿宋" w:hAnsi="仿宋" w:eastAsia="仿宋" w:cs="仿宋_GB2312"/>
          <w:kern w:val="0"/>
          <w:sz w:val="24"/>
        </w:rPr>
        <w:t>日10</w:t>
      </w:r>
      <w:r>
        <w:rPr>
          <w:rFonts w:hint="eastAsia" w:ascii="仿宋" w:hAnsi="仿宋" w:eastAsia="仿宋" w:cs="仿宋_GB2312"/>
          <w:kern w:val="0"/>
          <w:sz w:val="24"/>
          <w:lang w:val="en-US" w:eastAsia="zh-CN"/>
        </w:rPr>
        <w:t>:</w:t>
      </w:r>
      <w:r>
        <w:rPr>
          <w:rFonts w:hint="eastAsia" w:ascii="仿宋" w:hAnsi="仿宋" w:eastAsia="仿宋" w:cs="仿宋_GB2312"/>
          <w:kern w:val="0"/>
          <w:sz w:val="24"/>
        </w:rPr>
        <w:t>00</w:t>
      </w:r>
      <w:r>
        <w:rPr>
          <w:rFonts w:hint="eastAsia" w:ascii="仿宋" w:hAnsi="仿宋" w:eastAsia="仿宋" w:cs="仿宋_GB2312"/>
          <w:kern w:val="0"/>
          <w:sz w:val="24"/>
        </w:rPr>
        <w:tab/>
      </w:r>
    </w:p>
    <w:p>
      <w:pPr>
        <w:widowControl/>
        <w:spacing w:line="360" w:lineRule="auto"/>
        <w:ind w:firstLine="48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kern w:val="0"/>
          <w:sz w:val="24"/>
        </w:rPr>
        <w:t>请意向竞投单位按时参与竞投。</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采购人名称：</w:t>
      </w:r>
      <w:r>
        <w:rPr>
          <w:rFonts w:hint="eastAsia" w:ascii="仿宋" w:hAnsi="仿宋" w:eastAsia="仿宋" w:cs="仿宋_GB2312"/>
          <w:kern w:val="0"/>
          <w:sz w:val="24"/>
        </w:rPr>
        <w:t>广州市城壹房地产顾问有限公司</w:t>
      </w:r>
    </w:p>
    <w:p>
      <w:pPr>
        <w:spacing w:line="360" w:lineRule="auto"/>
        <w:ind w:firstLine="480" w:firstLineChars="200"/>
        <w:rPr>
          <w:rFonts w:ascii="仿宋" w:hAnsi="仿宋" w:eastAsia="仿宋" w:cs="仿宋_GB2312"/>
          <w:kern w:val="0"/>
          <w:sz w:val="24"/>
        </w:rPr>
      </w:pPr>
      <w:r>
        <w:rPr>
          <w:rFonts w:hint="eastAsia" w:ascii="仿宋" w:hAnsi="仿宋" w:eastAsia="仿宋" w:cs="仿宋_GB2312"/>
          <w:kern w:val="0"/>
          <w:sz w:val="24"/>
        </w:rPr>
        <w:t>采购人地址：广州市越秀区流花路117号16号馆2楼</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采购联系人：</w:t>
      </w:r>
      <w:r>
        <w:rPr>
          <w:rFonts w:hint="eastAsia" w:ascii="仿宋" w:hAnsi="仿宋" w:eastAsia="仿宋" w:cs="仿宋_GB2312"/>
          <w:sz w:val="24"/>
          <w:lang w:val="en-US" w:eastAsia="zh-CN"/>
        </w:rPr>
        <w:t>彭</w:t>
      </w:r>
      <w:r>
        <w:rPr>
          <w:rFonts w:hint="eastAsia" w:ascii="仿宋" w:hAnsi="仿宋" w:eastAsia="仿宋" w:cs="仿宋_GB2312"/>
          <w:sz w:val="24"/>
        </w:rPr>
        <w:t>先生</w:t>
      </w:r>
    </w:p>
    <w:p>
      <w:pPr>
        <w:pStyle w:val="3"/>
        <w:snapToGrid w:val="0"/>
        <w:spacing w:line="360" w:lineRule="auto"/>
        <w:ind w:firstLine="480" w:firstLineChars="200"/>
        <w:rPr>
          <w:rFonts w:ascii="仿宋" w:hAnsi="仿宋" w:eastAsia="仿宋" w:cs="仿宋_GB2312"/>
          <w:sz w:val="24"/>
          <w:szCs w:val="24"/>
        </w:rPr>
      </w:pPr>
      <w:r>
        <w:rPr>
          <w:rFonts w:hint="eastAsia" w:ascii="仿宋" w:hAnsi="仿宋" w:eastAsia="仿宋" w:cs="仿宋_GB2312"/>
          <w:sz w:val="24"/>
          <w:szCs w:val="24"/>
        </w:rPr>
        <w:t>联系电话：</w:t>
      </w:r>
      <w:r>
        <w:rPr>
          <w:rFonts w:hint="eastAsia" w:ascii="仿宋" w:hAnsi="仿宋" w:eastAsia="仿宋" w:cs="仿宋_GB2312"/>
          <w:sz w:val="24"/>
          <w:szCs w:val="24"/>
          <w:lang w:val="en-US" w:eastAsia="zh-CN"/>
        </w:rPr>
        <w:t>15889986780</w:t>
      </w:r>
      <w:bookmarkStart w:id="22" w:name="_GoBack"/>
      <w:bookmarkEnd w:id="22"/>
    </w:p>
    <w:p>
      <w:pPr>
        <w:pStyle w:val="3"/>
        <w:snapToGrid w:val="0"/>
        <w:spacing w:line="360" w:lineRule="auto"/>
        <w:ind w:firstLine="480" w:firstLineChars="200"/>
        <w:rPr>
          <w:rFonts w:ascii="仿宋" w:hAnsi="仿宋" w:eastAsia="仿宋" w:cs="仿宋_GB2312"/>
          <w:sz w:val="24"/>
          <w:szCs w:val="24"/>
        </w:rPr>
      </w:pPr>
    </w:p>
    <w:p>
      <w:pPr>
        <w:widowControl/>
        <w:spacing w:line="360" w:lineRule="auto"/>
        <w:rPr>
          <w:rFonts w:ascii="仿宋" w:hAnsi="仿宋" w:eastAsia="仿宋" w:cs="仿宋_GB2312"/>
          <w:kern w:val="0"/>
          <w:sz w:val="24"/>
        </w:rPr>
      </w:pPr>
      <w:r>
        <w:rPr>
          <w:rFonts w:hint="eastAsia" w:ascii="仿宋" w:hAnsi="仿宋" w:eastAsia="仿宋" w:cs="仿宋_GB2312"/>
          <w:kern w:val="0"/>
          <w:sz w:val="24"/>
        </w:rPr>
        <w:t xml:space="preserve">    </w:t>
      </w:r>
    </w:p>
    <w:p>
      <w:pPr>
        <w:widowControl/>
        <w:spacing w:line="360" w:lineRule="auto"/>
        <w:ind w:right="480"/>
        <w:rPr>
          <w:rFonts w:ascii="仿宋" w:hAnsi="仿宋" w:eastAsia="仿宋" w:cs="仿宋_GB2312"/>
          <w:kern w:val="0"/>
          <w:sz w:val="24"/>
        </w:rPr>
      </w:pPr>
      <w:r>
        <w:rPr>
          <w:rFonts w:hint="eastAsia" w:ascii="仿宋" w:hAnsi="仿宋" w:eastAsia="仿宋" w:cs="仿宋_GB2312"/>
          <w:kern w:val="0"/>
          <w:sz w:val="24"/>
        </w:rPr>
        <w:t xml:space="preserve">                           </w:t>
      </w:r>
    </w:p>
    <w:p>
      <w:pPr>
        <w:spacing w:line="360" w:lineRule="auto"/>
        <w:ind w:firstLine="480" w:firstLineChars="200"/>
        <w:jc w:val="right"/>
        <w:rPr>
          <w:rFonts w:ascii="仿宋" w:hAnsi="仿宋" w:eastAsia="仿宋" w:cs="仿宋_GB2312"/>
          <w:kern w:val="0"/>
          <w:sz w:val="24"/>
        </w:rPr>
      </w:pPr>
      <w:r>
        <w:rPr>
          <w:rFonts w:hint="eastAsia" w:ascii="仿宋" w:hAnsi="仿宋" w:eastAsia="仿宋" w:cs="仿宋_GB2312"/>
          <w:kern w:val="0"/>
          <w:sz w:val="24"/>
        </w:rPr>
        <w:t xml:space="preserve">   广州市城壹房地产顾问有限公司</w:t>
      </w:r>
    </w:p>
    <w:p>
      <w:pPr>
        <w:spacing w:line="360" w:lineRule="auto"/>
        <w:ind w:firstLine="480" w:firstLineChars="200"/>
        <w:jc w:val="left"/>
        <w:rPr>
          <w:rFonts w:ascii="仿宋" w:hAnsi="仿宋" w:eastAsia="仿宋" w:cs="仿宋_GB2312"/>
          <w:kern w:val="0"/>
          <w:sz w:val="24"/>
        </w:rPr>
      </w:pPr>
      <w:r>
        <w:rPr>
          <w:rFonts w:hint="eastAsia" w:ascii="仿宋" w:hAnsi="仿宋" w:eastAsia="仿宋" w:cs="仿宋_GB2312"/>
          <w:kern w:val="0"/>
          <w:sz w:val="24"/>
        </w:rPr>
        <w:t xml:space="preserve">                                             </w:t>
      </w:r>
      <w:r>
        <w:rPr>
          <w:rFonts w:hint="eastAsia" w:ascii="仿宋" w:hAnsi="仿宋" w:eastAsia="仿宋" w:cs="仿宋_GB2312"/>
          <w:kern w:val="0"/>
          <w:sz w:val="24"/>
          <w:lang w:val="en-US" w:eastAsia="zh-CN"/>
        </w:rPr>
        <w:t>2022</w:t>
      </w:r>
      <w:r>
        <w:rPr>
          <w:rFonts w:hint="eastAsia" w:ascii="仿宋" w:hAnsi="仿宋" w:eastAsia="仿宋" w:cs="仿宋_GB2312"/>
          <w:kern w:val="0"/>
          <w:sz w:val="24"/>
        </w:rPr>
        <w:t>年</w:t>
      </w:r>
      <w:r>
        <w:rPr>
          <w:rFonts w:hint="eastAsia" w:ascii="仿宋" w:hAnsi="仿宋" w:eastAsia="仿宋" w:cs="仿宋_GB2312"/>
          <w:kern w:val="0"/>
          <w:sz w:val="24"/>
          <w:lang w:val="en-US" w:eastAsia="zh-CN"/>
        </w:rPr>
        <w:t>8</w:t>
      </w:r>
      <w:r>
        <w:rPr>
          <w:rFonts w:hint="eastAsia" w:ascii="仿宋" w:hAnsi="仿宋" w:eastAsia="仿宋" w:cs="仿宋_GB2312"/>
          <w:kern w:val="0"/>
          <w:sz w:val="24"/>
        </w:rPr>
        <w:t>月</w:t>
      </w:r>
      <w:bookmarkEnd w:id="1"/>
      <w:r>
        <w:rPr>
          <w:rFonts w:hint="eastAsia" w:ascii="仿宋" w:hAnsi="仿宋" w:eastAsia="仿宋" w:cs="仿宋_GB2312"/>
          <w:kern w:val="0"/>
          <w:sz w:val="24"/>
          <w:lang w:val="en-US" w:eastAsia="zh-CN"/>
        </w:rPr>
        <w:t>6</w:t>
      </w:r>
      <w:r>
        <w:rPr>
          <w:rFonts w:hint="eastAsia" w:ascii="仿宋" w:hAnsi="仿宋" w:eastAsia="仿宋" w:cs="仿宋_GB2312"/>
          <w:kern w:val="0"/>
          <w:sz w:val="24"/>
        </w:rPr>
        <w:t>日</w:t>
      </w:r>
    </w:p>
    <w:p>
      <w:pPr>
        <w:spacing w:line="360" w:lineRule="auto"/>
        <w:ind w:firstLine="480" w:firstLineChars="200"/>
        <w:jc w:val="center"/>
        <w:rPr>
          <w:rFonts w:ascii="仿宋_GB2312" w:eastAsia="仿宋_GB2312"/>
          <w:b/>
          <w:sz w:val="32"/>
          <w:szCs w:val="32"/>
        </w:rPr>
      </w:pPr>
      <w:r>
        <w:rPr>
          <w:rFonts w:ascii="仿宋" w:hAnsi="仿宋" w:eastAsia="仿宋" w:cs="仿宋_GB2312"/>
          <w:kern w:val="0"/>
          <w:sz w:val="24"/>
        </w:rPr>
        <w:br w:type="page"/>
      </w:r>
      <w:r>
        <w:rPr>
          <w:rFonts w:hint="eastAsia" w:ascii="仿宋_GB2312" w:hAnsi="宋体" w:eastAsia="仿宋_GB2312" w:cs="宋体"/>
          <w:sz w:val="32"/>
          <w:szCs w:val="32"/>
        </w:rPr>
        <w:t>二、</w:t>
      </w:r>
      <w:r>
        <w:rPr>
          <w:rFonts w:hint="eastAsia" w:ascii="仿宋_GB2312" w:eastAsia="仿宋_GB2312"/>
          <w:b/>
          <w:sz w:val="32"/>
          <w:szCs w:val="32"/>
        </w:rPr>
        <w:t>竞投须知</w:t>
      </w:r>
    </w:p>
    <w:p>
      <w:pPr>
        <w:jc w:val="center"/>
      </w:pPr>
    </w:p>
    <w:tbl>
      <w:tblPr>
        <w:tblStyle w:val="14"/>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采购项目</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禧悦府项目</w:t>
            </w:r>
            <w:r>
              <w:rPr>
                <w:rFonts w:hint="eastAsia" w:ascii="仿宋" w:hAnsi="仿宋" w:eastAsia="仿宋"/>
                <w:szCs w:val="21"/>
                <w:lang w:eastAsia="zh-CN"/>
              </w:rPr>
              <w:t>停车场及导视围挡物料制作</w:t>
            </w:r>
            <w:r>
              <w:rPr>
                <w:rFonts w:hint="eastAsia" w:ascii="仿宋" w:hAnsi="仿宋" w:eastAsia="仿宋"/>
                <w:szCs w:val="21"/>
              </w:rPr>
              <w:t>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采购单位</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广州市城壹房地产顾问有限公司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项目地点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0"/>
              </w:tabs>
              <w:jc w:val="left"/>
              <w:outlineLvl w:val="3"/>
              <w:rPr>
                <w:rFonts w:ascii="仿宋" w:hAnsi="仿宋" w:eastAsia="仿宋"/>
                <w:szCs w:val="21"/>
              </w:rPr>
            </w:pPr>
            <w:r>
              <w:rPr>
                <w:rFonts w:hint="eastAsia" w:ascii="仿宋" w:hAnsi="仿宋" w:eastAsia="仿宋"/>
                <w:szCs w:val="21"/>
              </w:rPr>
              <w:t>广州市增城区永宁街道长岗村S3101229A19078号地块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公开竞选采购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采购范围、内容</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cs="Times New Roman"/>
                <w:szCs w:val="21"/>
              </w:rPr>
            </w:pPr>
            <w:r>
              <w:rPr>
                <w:rFonts w:hint="eastAsia" w:ascii="仿宋" w:hAnsi="仿宋" w:eastAsia="仿宋" w:cs="Times New Roman"/>
                <w:szCs w:val="21"/>
              </w:rPr>
              <w:t>具体采购内容范围及要求详见后附报价单或后附协议。</w:t>
            </w:r>
          </w:p>
          <w:p>
            <w:pPr>
              <w:pStyle w:val="7"/>
              <w:widowControl/>
              <w:spacing w:line="240" w:lineRule="atLeast"/>
              <w:jc w:val="both"/>
              <w:rPr>
                <w:rFonts w:ascii="仿宋" w:hAnsi="仿宋" w:eastAsia="仿宋" w:cs="Times New Roman"/>
                <w:szCs w:val="21"/>
              </w:rPr>
            </w:pPr>
            <w:r>
              <w:rPr>
                <w:rFonts w:hint="eastAsia" w:ascii="仿宋" w:hAnsi="仿宋" w:eastAsia="仿宋" w:cs="Times New Roman"/>
                <w:szCs w:val="21"/>
              </w:rPr>
              <w:t>双方的权利义务、合同期限、费用及支付方式等详见后附协议内容；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竞投资格要求</w:t>
            </w:r>
          </w:p>
        </w:tc>
        <w:tc>
          <w:tcPr>
            <w:tcW w:w="6624" w:type="dxa"/>
            <w:tcBorders>
              <w:top w:val="single" w:color="auto" w:sz="4" w:space="0"/>
              <w:left w:val="single" w:color="auto" w:sz="4" w:space="0"/>
              <w:bottom w:val="single" w:color="auto" w:sz="4" w:space="0"/>
              <w:right w:val="single" w:color="auto" w:sz="4" w:space="0"/>
            </w:tcBorders>
            <w:vAlign w:val="center"/>
          </w:tcPr>
          <w:p>
            <w:pPr>
              <w:pStyle w:val="27"/>
              <w:numPr>
                <w:ilvl w:val="0"/>
                <w:numId w:val="1"/>
              </w:numPr>
              <w:spacing w:line="240" w:lineRule="atLeast"/>
              <w:ind w:firstLineChars="0"/>
              <w:rPr>
                <w:rFonts w:ascii="仿宋" w:hAnsi="仿宋" w:eastAsia="仿宋"/>
                <w:szCs w:val="21"/>
              </w:rPr>
            </w:pPr>
            <w:r>
              <w:rPr>
                <w:rFonts w:hint="eastAsia" w:ascii="仿宋" w:hAnsi="仿宋" w:eastAsia="仿宋"/>
                <w:szCs w:val="21"/>
              </w:rPr>
              <w:t>竞投人必须是国内合法注册的法人或其他组织, 并已办理合法税务登记，具有开具相应发票能力；</w:t>
            </w:r>
          </w:p>
          <w:p>
            <w:pPr>
              <w:pStyle w:val="27"/>
              <w:numPr>
                <w:ilvl w:val="0"/>
                <w:numId w:val="1"/>
              </w:numPr>
              <w:spacing w:line="240" w:lineRule="atLeast"/>
              <w:ind w:firstLineChars="0"/>
              <w:rPr>
                <w:rFonts w:ascii="仿宋" w:hAnsi="仿宋" w:eastAsia="仿宋"/>
                <w:szCs w:val="21"/>
              </w:rPr>
            </w:pPr>
            <w:r>
              <w:rPr>
                <w:rFonts w:hint="eastAsia" w:ascii="仿宋" w:hAnsi="仿宋" w:eastAsia="仿宋"/>
                <w:szCs w:val="21"/>
              </w:rPr>
              <w:t>竞投人须具备实施采购项目所需的配套活动物品经营范围；</w:t>
            </w:r>
          </w:p>
          <w:p>
            <w:pPr>
              <w:pStyle w:val="30"/>
              <w:numPr>
                <w:ilvl w:val="0"/>
                <w:numId w:val="1"/>
              </w:numPr>
              <w:spacing w:line="240" w:lineRule="atLeast"/>
              <w:ind w:firstLineChars="0"/>
              <w:rPr>
                <w:rFonts w:ascii="仿宋" w:hAnsi="仿宋" w:eastAsia="仿宋"/>
                <w:szCs w:val="21"/>
              </w:rPr>
            </w:pPr>
            <w:r>
              <w:rPr>
                <w:rFonts w:hint="eastAsia" w:ascii="仿宋" w:hAnsi="仿宋" w:eastAsia="仿宋"/>
                <w:szCs w:val="21"/>
              </w:rPr>
              <w:t>本项目不接受联合体竞投。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承包方式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按实结算形式；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质量标准</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合格；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报价方式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 xml:space="preserve">根据采购人要求的报价格式密封报价；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最高限价</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竞投总价不得超过人民币</w:t>
            </w:r>
            <w:r>
              <w:rPr>
                <w:rFonts w:hint="eastAsia" w:ascii="仿宋" w:hAnsi="仿宋" w:eastAsia="仿宋"/>
                <w:szCs w:val="21"/>
                <w:lang w:val="en-US" w:eastAsia="zh-CN"/>
              </w:rPr>
              <w:t>贰拾柒万贰仟肆佰肆拾元壹角伍分</w:t>
            </w:r>
            <w:r>
              <w:rPr>
                <w:rFonts w:hint="eastAsia" w:ascii="仿宋" w:hAnsi="仿宋" w:eastAsia="仿宋"/>
                <w:szCs w:val="21"/>
              </w:rPr>
              <w:t>（￥</w:t>
            </w:r>
            <w:r>
              <w:rPr>
                <w:rFonts w:hint="eastAsia" w:ascii="仿宋" w:hAnsi="仿宋" w:eastAsia="仿宋"/>
                <w:szCs w:val="21"/>
                <w:lang w:eastAsia="zh-CN"/>
              </w:rPr>
              <w:t>272440.15</w:t>
            </w:r>
            <w:r>
              <w:rPr>
                <w:rFonts w:hint="eastAsia" w:ascii="仿宋" w:hAnsi="仿宋" w:eastAsia="仿宋"/>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综合评审；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竞投文件编制</w:t>
            </w:r>
          </w:p>
          <w:p>
            <w:pPr>
              <w:spacing w:line="240" w:lineRule="atLeast"/>
              <w:jc w:val="center"/>
              <w:rPr>
                <w:rFonts w:ascii="仿宋" w:hAnsi="仿宋" w:eastAsia="仿宋"/>
                <w:szCs w:val="21"/>
              </w:rPr>
            </w:pPr>
            <w:r>
              <w:rPr>
                <w:rFonts w:hint="eastAsia" w:ascii="仿宋" w:hAnsi="仿宋" w:eastAsia="仿宋"/>
                <w:szCs w:val="21"/>
              </w:rPr>
              <w:t>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竞投人应按采购文件的要求制作并递交竞投文件，并保证所提供的全部资料的真实性、准确性；</w:t>
            </w:r>
          </w:p>
          <w:p>
            <w:pPr>
              <w:spacing w:line="240" w:lineRule="atLeast"/>
              <w:rPr>
                <w:rFonts w:ascii="仿宋" w:hAnsi="仿宋" w:eastAsia="仿宋"/>
                <w:szCs w:val="21"/>
              </w:rPr>
            </w:pPr>
            <w:r>
              <w:rPr>
                <w:rFonts w:hint="eastAsia" w:ascii="仿宋" w:hAnsi="仿宋" w:eastAsia="仿宋"/>
                <w:szCs w:val="21"/>
              </w:rPr>
              <w:t>2. 竞投文件和来往函件应用简体中文书写，计量单位应使用国际公制单位。</w:t>
            </w:r>
          </w:p>
          <w:p>
            <w:pPr>
              <w:spacing w:line="240" w:lineRule="atLeast"/>
              <w:rPr>
                <w:rFonts w:ascii="仿宋" w:hAnsi="仿宋" w:eastAsia="仿宋"/>
                <w:szCs w:val="21"/>
              </w:rPr>
            </w:pPr>
            <w:r>
              <w:rPr>
                <w:rFonts w:hint="eastAsia" w:ascii="仿宋" w:hAnsi="仿宋" w:eastAsia="仿宋"/>
                <w:szCs w:val="21"/>
              </w:rPr>
              <w:t>3. 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竞投文件的组成</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提供符合本采购项目竞投资格要求的《营业执照》；</w:t>
            </w:r>
          </w:p>
          <w:p>
            <w:pPr>
              <w:spacing w:line="240" w:lineRule="atLeast"/>
              <w:rPr>
                <w:rFonts w:ascii="仿宋" w:hAnsi="仿宋" w:eastAsia="仿宋"/>
                <w:szCs w:val="21"/>
              </w:rPr>
            </w:pPr>
            <w:r>
              <w:rPr>
                <w:rFonts w:hint="eastAsia" w:ascii="仿宋" w:hAnsi="仿宋" w:eastAsia="仿宋"/>
                <w:szCs w:val="21"/>
              </w:rPr>
              <w:t>2. 密封完好的竞投报价清单（盖章）；</w:t>
            </w:r>
          </w:p>
          <w:p>
            <w:pPr>
              <w:spacing w:line="240" w:lineRule="atLeast"/>
              <w:rPr>
                <w:rFonts w:ascii="仿宋" w:hAnsi="仿宋" w:eastAsia="仿宋"/>
                <w:szCs w:val="21"/>
              </w:rPr>
            </w:pPr>
            <w:r>
              <w:rPr>
                <w:rFonts w:hint="eastAsia" w:ascii="仿宋" w:hAnsi="仿宋" w:eastAsia="仿宋"/>
                <w:szCs w:val="21"/>
              </w:rPr>
              <w:t>3. 有效法人证明书及授权委托书（盖章）；</w:t>
            </w:r>
          </w:p>
          <w:p>
            <w:pPr>
              <w:spacing w:line="240" w:lineRule="atLeast"/>
              <w:rPr>
                <w:rFonts w:ascii="仿宋" w:hAnsi="仿宋" w:eastAsia="仿宋"/>
                <w:szCs w:val="21"/>
              </w:rPr>
            </w:pPr>
            <w:r>
              <w:rPr>
                <w:rFonts w:hint="eastAsia" w:ascii="仿宋" w:hAnsi="仿宋" w:eastAsia="仿宋"/>
                <w:szCs w:val="21"/>
              </w:rPr>
              <w:t>4. 竞投人认为须提交与评分内容相关的其他资料。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竞投文件份数</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正本一份，副本四份；所有竞投文件应用A4规格纸打印，并装订成册。竞投文件于封面注明“正本”和“副本”。如果正本与副本不符，应以正本为准。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16</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竞投文件递交时间及截止时间</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竞投文件递交受理时间自    年  月   日上午9：00起至9:30截止；逾期不予受理。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17</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竞投有效期</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从竞投截止日起，竞投有效期为60日历天。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18</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竞投保证金</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本采购项目不设竞投保证金。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19</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竞投文件的修改和撤回</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竞投截止时间之后，竞投人不得对其竞投文件做任何修改。从竞投截止时间起至竞投有效期前，竞投人不得撤回其竞投文件。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20</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w:t>
            </w:r>
          </w:p>
          <w:p>
            <w:pPr>
              <w:spacing w:line="240" w:lineRule="atLeast"/>
              <w:jc w:val="center"/>
              <w:rPr>
                <w:rFonts w:ascii="仿宋" w:hAnsi="仿宋" w:eastAsia="仿宋"/>
                <w:szCs w:val="21"/>
              </w:rPr>
            </w:pPr>
            <w:r>
              <w:rPr>
                <w:rFonts w:hint="eastAsia" w:ascii="仿宋" w:hAnsi="仿宋" w:eastAsia="仿宋"/>
                <w:szCs w:val="21"/>
              </w:rPr>
              <w:t>递交地点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广州市越秀区流花路117号16号馆2楼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知识产权</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参与本采购项目的竞投人须接受及保证，采购人在中华人民共和国境内使用竞投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禁止事项</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bCs/>
                <w:szCs w:val="21"/>
              </w:rPr>
              <w:t>保密要求</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由采购人向竞投人提供的采购/招选文件、用户需求书等所有资料，竞投人获得后，应对其保密。非经采购人书面同意，竞投人不得向第三方透露或将其用于本次竞投以外的任何用途。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采购联系方式</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采购单位：广州市城壹房地产顾问有限公司</w:t>
            </w:r>
          </w:p>
          <w:p>
            <w:pPr>
              <w:spacing w:line="240" w:lineRule="atLeast"/>
              <w:ind w:left="947" w:leftChars="-4" w:hanging="955" w:hangingChars="455"/>
              <w:rPr>
                <w:rFonts w:ascii="仿宋" w:hAnsi="仿宋" w:eastAsia="仿宋"/>
                <w:szCs w:val="21"/>
              </w:rPr>
            </w:pPr>
            <w:r>
              <w:rPr>
                <w:rFonts w:hint="eastAsia" w:ascii="仿宋" w:hAnsi="仿宋" w:eastAsia="仿宋"/>
                <w:szCs w:val="21"/>
              </w:rPr>
              <w:t>联系地址：广州市越秀区流花路117号16号馆2楼</w:t>
            </w:r>
          </w:p>
          <w:p>
            <w:pPr>
              <w:spacing w:line="240" w:lineRule="atLeast"/>
              <w:rPr>
                <w:rFonts w:ascii="仿宋" w:hAnsi="仿宋" w:eastAsia="仿宋"/>
                <w:szCs w:val="21"/>
              </w:rPr>
            </w:pPr>
            <w:r>
              <w:rPr>
                <w:rFonts w:hint="eastAsia" w:ascii="仿宋" w:hAnsi="仿宋" w:eastAsia="仿宋"/>
                <w:szCs w:val="21"/>
              </w:rPr>
              <w:t>联 系 人：黄先生</w:t>
            </w:r>
          </w:p>
          <w:p>
            <w:pPr>
              <w:spacing w:line="240" w:lineRule="atLeast"/>
              <w:rPr>
                <w:rFonts w:ascii="仿宋" w:hAnsi="仿宋" w:eastAsia="仿宋"/>
                <w:szCs w:val="21"/>
              </w:rPr>
            </w:pPr>
            <w:r>
              <w:rPr>
                <w:rFonts w:hint="eastAsia" w:ascii="仿宋" w:hAnsi="仿宋" w:eastAsia="仿宋"/>
                <w:szCs w:val="21"/>
              </w:rPr>
              <w:t>联系电话：18126816168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7"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其他</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仿宋" w:hAnsi="仿宋" w:eastAsia="仿宋"/>
                <w:szCs w:val="21"/>
              </w:rPr>
            </w:pPr>
            <w:r>
              <w:rPr>
                <w:rFonts w:hint="eastAsia" w:ascii="仿宋" w:hAnsi="仿宋" w:eastAsia="仿宋"/>
                <w:szCs w:val="21"/>
              </w:rPr>
              <w:t>1. 本采购项目信息在广州市城壹房地产顾问有限公司的官方网站（链接：</w:t>
            </w:r>
            <w:r>
              <w:rPr>
                <w:rFonts w:ascii="仿宋" w:hAnsi="仿宋" w:eastAsia="仿宋"/>
                <w:szCs w:val="21"/>
              </w:rPr>
              <w:t>http://www.gzcityone.com</w:t>
            </w:r>
            <w:r>
              <w:rPr>
                <w:rFonts w:hint="eastAsia" w:ascii="仿宋" w:hAnsi="仿宋" w:eastAsia="仿宋"/>
                <w:szCs w:val="21"/>
              </w:rPr>
              <w:t>）发布，符合资格的意向竞投人可行进行竟投并承担所有与其参加竞投有关的全部费用。</w:t>
            </w:r>
          </w:p>
          <w:p>
            <w:pPr>
              <w:spacing w:line="240" w:lineRule="atLeast"/>
              <w:rPr>
                <w:rFonts w:ascii="仿宋" w:hAnsi="仿宋" w:eastAsia="仿宋"/>
                <w:szCs w:val="21"/>
              </w:rPr>
            </w:pPr>
            <w:r>
              <w:rPr>
                <w:rFonts w:hint="eastAsia" w:ascii="仿宋" w:hAnsi="仿宋" w:eastAsia="仿宋"/>
                <w:szCs w:val="21"/>
              </w:rPr>
              <w:t>2. 提交竞投文件的截止时间前，应接收竞投人递交的有效竞投文件少于三家时，则采购招选工作失败，已递交的竞投文件原封退回。采购人将按有关规定另行组织采购招选工作。</w:t>
            </w:r>
          </w:p>
          <w:p>
            <w:pPr>
              <w:spacing w:line="240" w:lineRule="atLeast"/>
              <w:rPr>
                <w:rFonts w:ascii="仿宋" w:hAnsi="仿宋" w:eastAsia="仿宋"/>
                <w:szCs w:val="21"/>
              </w:rPr>
            </w:pPr>
            <w:r>
              <w:rPr>
                <w:rFonts w:hint="eastAsia" w:ascii="仿宋" w:hAnsi="仿宋" w:eastAsia="仿宋"/>
                <w:szCs w:val="21"/>
              </w:rPr>
              <w:t>3. 本采购文件的最终解释权归采购人。</w:t>
            </w:r>
          </w:p>
        </w:tc>
      </w:tr>
    </w:tbl>
    <w:p/>
    <w:p/>
    <w:p/>
    <w:p>
      <w:pPr>
        <w:keepNext/>
        <w:keepLines/>
        <w:ind w:right="-57" w:rightChars="-27"/>
        <w:jc w:val="center"/>
        <w:outlineLvl w:val="0"/>
        <w:rPr>
          <w:rFonts w:ascii="仿宋" w:hAnsi="仿宋" w:eastAsia="仿宋" w:cs="仿宋"/>
          <w:b/>
          <w:color w:val="000000"/>
          <w:szCs w:val="21"/>
        </w:rPr>
      </w:pPr>
      <w:bookmarkStart w:id="7" w:name="_Toc428434793"/>
      <w:bookmarkStart w:id="8" w:name="_Toc427828529"/>
      <w:r>
        <w:rPr>
          <w:rFonts w:ascii="仿宋" w:hAnsi="仿宋" w:eastAsia="仿宋" w:cs="仿宋"/>
          <w:sz w:val="32"/>
          <w:szCs w:val="32"/>
        </w:rPr>
        <w:br w:type="page"/>
      </w:r>
      <w:r>
        <w:rPr>
          <w:rFonts w:hint="eastAsia" w:ascii="仿宋" w:hAnsi="仿宋" w:eastAsia="仿宋" w:cs="仿宋"/>
          <w:b/>
          <w:sz w:val="32"/>
          <w:szCs w:val="32"/>
        </w:rPr>
        <w:t>三、</w:t>
      </w:r>
      <w:r>
        <w:rPr>
          <w:rFonts w:hint="eastAsia" w:ascii="仿宋" w:hAnsi="仿宋" w:eastAsia="仿宋" w:cs="仿宋"/>
          <w:b/>
          <w:color w:val="000000"/>
          <w:sz w:val="32"/>
          <w:szCs w:val="32"/>
        </w:rPr>
        <w:t>招选人需求</w:t>
      </w:r>
      <w:bookmarkEnd w:id="7"/>
      <w:bookmarkEnd w:id="8"/>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1、概述</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（1）宗旨</w:t>
      </w:r>
    </w:p>
    <w:p>
      <w:pPr>
        <w:tabs>
          <w:tab w:val="left" w:pos="0"/>
        </w:tabs>
        <w:adjustRightInd w:val="0"/>
        <w:snapToGrid w:val="0"/>
        <w:ind w:firstLine="411" w:firstLineChars="196"/>
        <w:outlineLvl w:val="3"/>
        <w:rPr>
          <w:rFonts w:ascii="仿宋" w:hAnsi="仿宋" w:eastAsia="仿宋" w:cs="仿宋"/>
          <w:kern w:val="0"/>
          <w:szCs w:val="21"/>
        </w:rPr>
      </w:pPr>
      <w:r>
        <w:rPr>
          <w:rFonts w:hint="eastAsia" w:ascii="仿宋" w:hAnsi="仿宋" w:eastAsia="仿宋" w:cs="仿宋"/>
          <w:kern w:val="0"/>
          <w:szCs w:val="21"/>
        </w:rPr>
        <w:t>为满足</w:t>
      </w:r>
      <w:r>
        <w:rPr>
          <w:rFonts w:hint="eastAsia" w:ascii="仿宋" w:hAnsi="仿宋" w:eastAsia="仿宋"/>
          <w:szCs w:val="21"/>
        </w:rPr>
        <w:t>禧悦府项目</w:t>
      </w:r>
      <w:r>
        <w:rPr>
          <w:rFonts w:hint="eastAsia" w:ascii="仿宋" w:hAnsi="仿宋" w:eastAsia="仿宋"/>
          <w:szCs w:val="21"/>
          <w:lang w:eastAsia="zh-CN"/>
        </w:rPr>
        <w:t>停车场及导视围挡物料制作</w:t>
      </w:r>
      <w:r>
        <w:rPr>
          <w:rFonts w:hint="eastAsia" w:ascii="仿宋" w:hAnsi="仿宋" w:eastAsia="仿宋"/>
          <w:szCs w:val="21"/>
        </w:rPr>
        <w:t>的服务</w:t>
      </w:r>
      <w:r>
        <w:rPr>
          <w:rFonts w:hint="eastAsia" w:ascii="仿宋" w:hAnsi="仿宋" w:eastAsia="仿宋" w:cs="仿宋"/>
          <w:szCs w:val="21"/>
        </w:rPr>
        <w:t>。</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kern w:val="0"/>
          <w:szCs w:val="21"/>
        </w:rPr>
        <w:t>（2）项目</w:t>
      </w:r>
      <w:r>
        <w:rPr>
          <w:rFonts w:hint="eastAsia" w:ascii="仿宋" w:hAnsi="仿宋" w:eastAsia="仿宋" w:cs="仿宋"/>
          <w:color w:val="000000"/>
          <w:szCs w:val="21"/>
        </w:rPr>
        <w:t>地点</w:t>
      </w:r>
    </w:p>
    <w:p>
      <w:pPr>
        <w:tabs>
          <w:tab w:val="left" w:pos="0"/>
        </w:tabs>
        <w:ind w:firstLine="411" w:firstLineChars="196"/>
        <w:outlineLvl w:val="3"/>
        <w:rPr>
          <w:rFonts w:ascii="仿宋" w:hAnsi="仿宋" w:eastAsia="仿宋" w:cs="仿宋"/>
          <w:szCs w:val="21"/>
        </w:rPr>
      </w:pPr>
      <w:r>
        <w:rPr>
          <w:rFonts w:hint="eastAsia" w:ascii="仿宋_GB2312" w:hAnsi="宋体" w:eastAsia="仿宋_GB2312"/>
          <w:szCs w:val="21"/>
        </w:rPr>
        <w:t>广州市增城区永宁街道长岗村S3101229A19078号地块</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2、商务要求</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（1）服务报价</w:t>
      </w:r>
    </w:p>
    <w:p>
      <w:pPr>
        <w:tabs>
          <w:tab w:val="left" w:pos="0"/>
          <w:tab w:val="left" w:pos="1134"/>
        </w:tabs>
        <w:ind w:firstLine="420" w:firstLineChars="200"/>
        <w:rPr>
          <w:rFonts w:ascii="仿宋" w:hAnsi="仿宋" w:eastAsia="仿宋" w:cs="仿宋"/>
          <w:color w:val="000000"/>
          <w:szCs w:val="21"/>
        </w:rPr>
      </w:pPr>
      <w:r>
        <w:rPr>
          <w:rFonts w:hint="eastAsia" w:ascii="仿宋" w:hAnsi="仿宋" w:eastAsia="仿宋" w:cs="仿宋"/>
          <w:color w:val="000000"/>
          <w:kern w:val="0"/>
          <w:szCs w:val="21"/>
        </w:rPr>
        <w:t>由竞投人报价，最高限价人民币贰拾柒万贰仟肆佰肆拾元壹角伍分（</w:t>
      </w:r>
      <w:r>
        <w:rPr>
          <w:rFonts w:hint="eastAsia" w:ascii="仿宋" w:hAnsi="仿宋" w:eastAsia="仿宋" w:cs="仿宋"/>
          <w:kern w:val="0"/>
          <w:szCs w:val="21"/>
        </w:rPr>
        <w:t>￥</w:t>
      </w:r>
      <w:r>
        <w:rPr>
          <w:rFonts w:hint="eastAsia" w:ascii="仿宋" w:hAnsi="仿宋" w:eastAsia="仿宋" w:cs="仿宋"/>
          <w:kern w:val="0"/>
          <w:szCs w:val="21"/>
          <w:lang w:eastAsia="zh-CN"/>
        </w:rPr>
        <w:t>272440.15</w:t>
      </w:r>
      <w:r>
        <w:rPr>
          <w:rFonts w:hint="eastAsia" w:ascii="仿宋" w:hAnsi="仿宋" w:eastAsia="仿宋" w:cs="仿宋"/>
          <w:kern w:val="0"/>
          <w:szCs w:val="21"/>
        </w:rPr>
        <w:t>元</w:t>
      </w:r>
      <w:r>
        <w:rPr>
          <w:rFonts w:hint="eastAsia" w:ascii="仿宋" w:hAnsi="仿宋" w:eastAsia="仿宋" w:cs="仿宋"/>
          <w:color w:val="000000"/>
          <w:kern w:val="0"/>
          <w:szCs w:val="21"/>
        </w:rPr>
        <w:t>），</w:t>
      </w:r>
      <w:r>
        <w:rPr>
          <w:rFonts w:hint="eastAsia" w:ascii="仿宋" w:hAnsi="仿宋" w:eastAsia="仿宋" w:cs="仿宋"/>
          <w:color w:val="000000"/>
          <w:szCs w:val="21"/>
        </w:rPr>
        <w:t>高于最高限价及单价限价的报价无效。</w:t>
      </w:r>
    </w:p>
    <w:p>
      <w:pPr>
        <w:pStyle w:val="28"/>
        <w:widowControl w:val="0"/>
        <w:spacing w:line="360" w:lineRule="auto"/>
        <w:ind w:firstLine="630" w:firstLineChars="300"/>
        <w:jc w:val="both"/>
        <w:rPr>
          <w:rFonts w:ascii="仿宋" w:hAnsi="仿宋" w:eastAsia="仿宋" w:cs="仿宋"/>
          <w:color w:val="000000"/>
          <w:szCs w:val="21"/>
        </w:rPr>
      </w:pPr>
      <w:r>
        <w:rPr>
          <w:rFonts w:hint="eastAsia" w:ascii="仿宋" w:hAnsi="仿宋" w:eastAsia="仿宋" w:cs="仿宋"/>
          <w:szCs w:val="21"/>
        </w:rPr>
        <w:t>以投标总报价及服务作为评分依据。</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（2）其他</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除招选人在竞选文件中明确外，中选单位不得以任何方式转包、分包或挂靠本项目。如发现中选单位以转包、分包或挂靠的方式谋取选中，招选人有权解除合同及要求赔偿。</w:t>
      </w:r>
    </w:p>
    <w:p>
      <w:pPr>
        <w:tabs>
          <w:tab w:val="left" w:pos="0"/>
        </w:tabs>
        <w:ind w:left="426" w:firstLine="420" w:firstLineChars="200"/>
        <w:outlineLvl w:val="3"/>
        <w:rPr>
          <w:rFonts w:ascii="仿宋" w:hAnsi="仿宋" w:eastAsia="仿宋" w:cs="仿宋"/>
          <w:color w:val="000000"/>
          <w:szCs w:val="21"/>
        </w:rPr>
      </w:pPr>
      <w:r>
        <w:rPr>
          <w:rFonts w:hint="eastAsia" w:ascii="仿宋" w:hAnsi="仿宋" w:eastAsia="仿宋" w:cs="仿宋"/>
          <w:color w:val="000000"/>
          <w:szCs w:val="21"/>
        </w:rPr>
        <w:t>竞投人应具有良好商誉及信用，若竞投人被列入失信被执行人、存在重大产品质量及环保纠纷、及被政府列入失信行为记录名单的，招选人有权拒绝其参与本次采购或作废标处理。</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（3）服务期</w:t>
      </w:r>
    </w:p>
    <w:p>
      <w:pPr>
        <w:tabs>
          <w:tab w:val="left" w:pos="0"/>
          <w:tab w:val="left" w:pos="1134"/>
        </w:tabs>
        <w:ind w:left="567"/>
        <w:rPr>
          <w:rFonts w:ascii="仿宋" w:hAnsi="仿宋" w:eastAsia="仿宋" w:cs="仿宋"/>
          <w:color w:val="000000"/>
          <w:szCs w:val="21"/>
        </w:rPr>
      </w:pPr>
      <w:r>
        <w:rPr>
          <w:rFonts w:hint="eastAsia" w:ascii="仿宋" w:hAnsi="仿宋" w:eastAsia="仿宋" w:cs="仿宋"/>
          <w:color w:val="000000"/>
          <w:szCs w:val="21"/>
        </w:rPr>
        <w:t>签订采购合同后按采购人通知开始计算服务期</w:t>
      </w:r>
    </w:p>
    <w:p>
      <w:pPr>
        <w:tabs>
          <w:tab w:val="left" w:pos="0"/>
        </w:tabs>
        <w:ind w:left="567"/>
        <w:rPr>
          <w:rFonts w:ascii="仿宋" w:hAnsi="仿宋" w:eastAsia="仿宋" w:cs="仿宋"/>
          <w:color w:val="000000"/>
          <w:szCs w:val="21"/>
        </w:rPr>
      </w:pPr>
      <w:r>
        <w:rPr>
          <w:rFonts w:hint="eastAsia" w:ascii="仿宋" w:hAnsi="仿宋" w:eastAsia="仿宋" w:cs="仿宋"/>
          <w:color w:val="000000"/>
          <w:szCs w:val="21"/>
        </w:rPr>
        <w:t>3、项目服务内容（包括但不限于以下内容）</w:t>
      </w:r>
      <w:r>
        <w:rPr>
          <w:rFonts w:hint="eastAsia" w:ascii="仿宋" w:hAnsi="仿宋" w:eastAsia="仿宋" w:cs="仿宋"/>
          <w:kern w:val="0"/>
          <w:szCs w:val="21"/>
        </w:rPr>
        <w:t>：</w:t>
      </w:r>
    </w:p>
    <w:tbl>
      <w:tblPr>
        <w:tblStyle w:val="14"/>
        <w:tblW w:w="615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8"/>
        <w:gridCol w:w="1905"/>
        <w:gridCol w:w="2339"/>
        <w:gridCol w:w="3828"/>
        <w:gridCol w:w="779"/>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序号</w:t>
            </w:r>
          </w:p>
        </w:tc>
        <w:tc>
          <w:tcPr>
            <w:tcW w:w="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事项</w:t>
            </w:r>
          </w:p>
        </w:tc>
        <w:tc>
          <w:tcPr>
            <w:tcW w:w="11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规格</w:t>
            </w:r>
          </w:p>
        </w:tc>
        <w:tc>
          <w:tcPr>
            <w:tcW w:w="18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材质</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数量</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销售中心前段围挡绿植墙美化</w:t>
            </w:r>
          </w:p>
        </w:tc>
        <w:tc>
          <w:tcPr>
            <w:tcW w:w="11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16.5*3.2米+47*3.2米+50.2*4米</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用仿真草皮打底，面上装饰高仿真绿植墙材料（葵叶和麻松组合仿真叶，深色茶树叶，乌槽蕨叶浅色）3种颜色搭配安装</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销售中心左侧围挡发光立体字制作</w:t>
            </w:r>
          </w:p>
        </w:tc>
        <w:tc>
          <w:tcPr>
            <w:tcW w:w="11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文字高70CM*22字，logo宽400CM*高90CM*2组，箭头高300CM*宽150CM*2组</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箭头和立体文字都采用：1.5MM厚不锈钢电镀香槟金色围边立体字，背面垫2CM厚磨砂有机发光，内藏LED灯珠，4500K暖白色光，用螺杆固定安装</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4740</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项目路口至销售中心段的围挡发光立体字制作</w:t>
            </w:r>
          </w:p>
        </w:tc>
        <w:tc>
          <w:tcPr>
            <w:tcW w:w="11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文字高80CM*30字，logo宽450CM*高100CM*2组，箭头高400CM*宽170CM*2组</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箭头和立体文字都采用：1.5MM厚不锈钢电镀香槟金色围边立体字，背面垫2CM厚磨砂有机发光，内藏LED灯珠，4500K暖白色光，用螺杆固定安装</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6500</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布电</w:t>
            </w:r>
          </w:p>
        </w:tc>
        <w:tc>
          <w:tcPr>
            <w:tcW w:w="11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rPr>
                <w:rFonts w:hint="eastAsia" w:ascii="微软雅黑" w:hAnsi="微软雅黑" w:eastAsia="微软雅黑" w:cs="微软雅黑"/>
                <w:i w:val="0"/>
                <w:iCs w:val="0"/>
                <w:color w:val="000000"/>
                <w:sz w:val="16"/>
                <w:szCs w:val="16"/>
                <w:u w:val="none"/>
              </w:rPr>
            </w:pP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主线用3*6平方主线套户外线管，配户外电箱（时控开关，漏电开光，接触器等设备），总长200米</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停车场围挡仿真草皮</w:t>
            </w:r>
          </w:p>
        </w:tc>
        <w:tc>
          <w:tcPr>
            <w:tcW w:w="11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总长54米*高4米，长12米*高5米</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用3CM厚三色加密仿真草皮（夏草）</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276</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停车场围挡部分装饰仿真绿植墙</w:t>
            </w:r>
          </w:p>
        </w:tc>
        <w:tc>
          <w:tcPr>
            <w:tcW w:w="11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宽1.5米*高4米*7条，宽1.5米*高5米*1条</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用仿真草皮打底，面上装饰高仿真绿植墙材料（葵叶和麻松组合仿真叶，深色茶树叶，乌槽蕨叶浅色）3种颜色搭配安装</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49.5</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jc w:val="center"/>
        </w:trPr>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90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销售中心围挡装饰条制作</w:t>
            </w:r>
          </w:p>
        </w:tc>
        <w:tc>
          <w:tcPr>
            <w:tcW w:w="11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高400CM*宽10CM*14条，高500CM*宽10CM*2条</w:t>
            </w:r>
          </w:p>
        </w:tc>
        <w:tc>
          <w:tcPr>
            <w:tcW w:w="182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采用：1.5MM厚不锈钢电镀香槟金色围边立体装饰条，围边厚度6CM</w:t>
            </w:r>
          </w:p>
        </w:tc>
        <w:tc>
          <w:tcPr>
            <w:tcW w:w="3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66</w:t>
            </w:r>
          </w:p>
        </w:tc>
        <w:tc>
          <w:tcPr>
            <w:tcW w:w="4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r>
    </w:tbl>
    <w:p>
      <w:pPr>
        <w:tabs>
          <w:tab w:val="left" w:pos="0"/>
        </w:tabs>
        <w:ind w:firstLine="567" w:firstLineChars="270"/>
        <w:outlineLvl w:val="3"/>
        <w:rPr>
          <w:rFonts w:ascii="仿宋" w:hAnsi="仿宋" w:eastAsia="仿宋" w:cs="仿宋"/>
          <w:szCs w:val="21"/>
        </w:rPr>
      </w:pPr>
    </w:p>
    <w:p>
      <w:pPr>
        <w:tabs>
          <w:tab w:val="left" w:pos="0"/>
        </w:tabs>
        <w:ind w:firstLine="567" w:firstLineChars="270"/>
        <w:outlineLvl w:val="3"/>
        <w:rPr>
          <w:rFonts w:ascii="仿宋" w:hAnsi="仿宋" w:eastAsia="仿宋" w:cs="仿宋"/>
          <w:color w:val="000000"/>
          <w:szCs w:val="21"/>
        </w:rPr>
      </w:pPr>
      <w:r>
        <w:rPr>
          <w:rFonts w:hint="eastAsia" w:ascii="仿宋" w:hAnsi="仿宋" w:eastAsia="仿宋" w:cs="仿宋"/>
          <w:color w:val="000000"/>
          <w:szCs w:val="21"/>
        </w:rPr>
        <w:t>4、服务保障措施</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（1）本项目服务团队及负责人，如更换负责人须经招选人同意。</w:t>
      </w:r>
    </w:p>
    <w:p>
      <w:pPr>
        <w:tabs>
          <w:tab w:val="left" w:pos="993"/>
        </w:tabs>
        <w:ind w:left="567"/>
        <w:rPr>
          <w:rFonts w:ascii="仿宋" w:hAnsi="仿宋" w:eastAsia="仿宋" w:cs="仿宋"/>
          <w:color w:val="000000"/>
          <w:szCs w:val="21"/>
        </w:rPr>
      </w:pPr>
      <w:r>
        <w:rPr>
          <w:rFonts w:hint="eastAsia" w:ascii="仿宋" w:hAnsi="仿宋" w:eastAsia="仿宋" w:cs="仿宋"/>
          <w:color w:val="000000"/>
          <w:szCs w:val="21"/>
        </w:rPr>
        <w:t>（2）本项目服务方案和时间进度表。</w:t>
      </w:r>
    </w:p>
    <w:p>
      <w:pPr>
        <w:ind w:firstLine="567" w:firstLineChars="270"/>
        <w:rPr>
          <w:rFonts w:ascii="仿宋" w:hAnsi="仿宋" w:eastAsia="仿宋" w:cs="仿宋"/>
          <w:szCs w:val="21"/>
        </w:rPr>
      </w:pPr>
      <w:r>
        <w:rPr>
          <w:rFonts w:hint="eastAsia" w:ascii="仿宋" w:hAnsi="仿宋" w:eastAsia="仿宋" w:cs="仿宋"/>
          <w:color w:val="000000"/>
          <w:szCs w:val="21"/>
        </w:rPr>
        <w:t>（3）服务期间，中选人应派员跟进本项目，根据本项目的要求，制定适合的策略，提出执行建议、跟踪和控制执行效果等（不限于以上服务内容）。</w:t>
      </w:r>
    </w:p>
    <w:p>
      <w:r>
        <w:rPr>
          <w:rFonts w:ascii="仿宋_GB2312" w:eastAsia="仿宋_GB2312"/>
          <w:b/>
          <w:sz w:val="32"/>
          <w:szCs w:val="32"/>
        </w:rPr>
        <w:br w:type="page"/>
      </w:r>
      <w:r>
        <w:rPr>
          <w:rFonts w:hint="eastAsia" w:ascii="仿宋_GB2312" w:eastAsia="仿宋_GB2312"/>
          <w:b/>
          <w:sz w:val="32"/>
          <w:szCs w:val="32"/>
        </w:rPr>
        <w:t>四、评审/选定方法及标准</w:t>
      </w:r>
    </w:p>
    <w:p/>
    <w:tbl>
      <w:tblPr>
        <w:tblStyle w:val="14"/>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ind w:right="-358"/>
              <w:jc w:val="left"/>
              <w:rPr>
                <w:rFonts w:ascii="仿宋" w:hAnsi="仿宋" w:eastAsia="仿宋"/>
                <w:bCs/>
                <w:szCs w:val="21"/>
              </w:rPr>
            </w:pPr>
            <w:r>
              <w:rPr>
                <w:rFonts w:hint="eastAsia" w:ascii="仿宋" w:hAnsi="仿宋" w:eastAsia="仿宋"/>
                <w:bCs/>
                <w:szCs w:val="21"/>
              </w:rPr>
              <w:t>项号</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bCs/>
                <w:szCs w:val="21"/>
              </w:rPr>
            </w:pPr>
            <w:r>
              <w:rPr>
                <w:rFonts w:hint="eastAsia" w:ascii="仿宋" w:hAnsi="仿宋" w:eastAsia="仿宋"/>
                <w:bCs/>
                <w:szCs w:val="21"/>
              </w:rPr>
              <w:t>内    容</w:t>
            </w:r>
          </w:p>
        </w:tc>
        <w:tc>
          <w:tcPr>
            <w:tcW w:w="6624"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240" w:lineRule="atLeast"/>
              <w:jc w:val="center"/>
              <w:rPr>
                <w:rFonts w:ascii="仿宋" w:hAnsi="仿宋" w:eastAsia="仿宋"/>
                <w:bCs/>
                <w:szCs w:val="21"/>
              </w:rPr>
            </w:pPr>
            <w:r>
              <w:rPr>
                <w:rFonts w:hint="eastAsia" w:ascii="仿宋" w:hAnsi="仿宋" w:eastAsia="仿宋"/>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1</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评审办法</w:t>
            </w:r>
          </w:p>
        </w:tc>
        <w:tc>
          <w:tcPr>
            <w:tcW w:w="6624" w:type="dxa"/>
            <w:tcBorders>
              <w:top w:val="single" w:color="auto" w:sz="4" w:space="0"/>
              <w:left w:val="single" w:color="auto" w:sz="4" w:space="0"/>
              <w:bottom w:val="single" w:color="auto" w:sz="4" w:space="0"/>
              <w:right w:val="single" w:color="auto" w:sz="4" w:space="0"/>
            </w:tcBorders>
            <w:vAlign w:val="center"/>
          </w:tcPr>
          <w:p>
            <w:pPr>
              <w:spacing w:line="240" w:lineRule="atLeast"/>
              <w:jc w:val="left"/>
              <w:rPr>
                <w:rFonts w:ascii="仿宋" w:hAnsi="仿宋" w:eastAsia="仿宋"/>
                <w:szCs w:val="21"/>
              </w:rPr>
            </w:pPr>
            <w:r>
              <w:rPr>
                <w:rFonts w:hint="eastAsia" w:ascii="仿宋" w:hAnsi="仿宋" w:eastAsia="仿宋"/>
                <w:szCs w:val="21"/>
              </w:rPr>
              <w:t>综合评审法（具体评审标准见后附表）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2</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评审原则</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3</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资格/符合性审查</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1. 评审小组将根据采购文件的规定，对各竞投文件进行资格及符合性审查。（具体审查标准见后附表）</w:t>
            </w:r>
          </w:p>
          <w:p>
            <w:pPr>
              <w:pStyle w:val="7"/>
              <w:widowControl/>
              <w:spacing w:line="240" w:lineRule="atLeast"/>
              <w:jc w:val="both"/>
              <w:rPr>
                <w:rFonts w:ascii="仿宋" w:hAnsi="仿宋" w:eastAsia="仿宋"/>
                <w:szCs w:val="21"/>
              </w:rPr>
            </w:pPr>
            <w:r>
              <w:rPr>
                <w:rFonts w:hint="eastAsia" w:ascii="仿宋" w:hAnsi="仿宋" w:eastAsia="仿宋"/>
                <w:szCs w:val="21"/>
              </w:rPr>
              <w:t>2. 符合性审查结论意见采取少数服从多数原则，即超过半数评审人员的结论为“通过”则该竞投人通过资格及符合性审查，否则不通过。</w:t>
            </w:r>
          </w:p>
          <w:p>
            <w:pPr>
              <w:pStyle w:val="7"/>
              <w:widowControl/>
              <w:spacing w:line="240" w:lineRule="atLeast"/>
              <w:jc w:val="both"/>
              <w:rPr>
                <w:rFonts w:ascii="仿宋" w:hAnsi="仿宋" w:eastAsia="仿宋"/>
                <w:szCs w:val="21"/>
              </w:rPr>
            </w:pPr>
            <w:r>
              <w:rPr>
                <w:rFonts w:hint="eastAsia" w:ascii="仿宋" w:hAnsi="仿宋" w:eastAsia="仿宋"/>
                <w:szCs w:val="21"/>
              </w:rPr>
              <w:t>3. 不能通过资格及符合性审查的竞投文件，不得参与综合评审排序。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4</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竞投文件的澄清</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1.对竞投文件中含义不明确、同类问题表述不一致或者有明显文字和计算错误的内容，评审小组可以书面形式要求竞投人作出必要的澄清、说明或者纠正。</w:t>
            </w:r>
          </w:p>
          <w:p>
            <w:pPr>
              <w:pStyle w:val="7"/>
              <w:widowControl/>
              <w:spacing w:line="240" w:lineRule="atLeast"/>
              <w:jc w:val="both"/>
              <w:rPr>
                <w:rFonts w:ascii="仿宋" w:hAnsi="仿宋" w:eastAsia="仿宋"/>
                <w:szCs w:val="21"/>
              </w:rPr>
            </w:pPr>
            <w:r>
              <w:rPr>
                <w:rFonts w:hint="eastAsia" w:ascii="仿宋" w:hAnsi="仿宋" w:eastAsia="仿宋"/>
                <w:szCs w:val="21"/>
              </w:rPr>
              <w:t>2.竞投人的澄清、说明或者补正应当采用书面形式，由其授权的代表签字，并不得超出竞投文件的范围或者改变竞投文件的实质性内容。</w:t>
            </w:r>
          </w:p>
          <w:p>
            <w:pPr>
              <w:pStyle w:val="7"/>
              <w:widowControl/>
              <w:spacing w:line="240" w:lineRule="atLeast"/>
              <w:jc w:val="both"/>
              <w:rPr>
                <w:rFonts w:ascii="仿宋" w:hAnsi="仿宋" w:eastAsia="仿宋"/>
                <w:szCs w:val="21"/>
              </w:rPr>
            </w:pPr>
            <w:r>
              <w:rPr>
                <w:rFonts w:hint="eastAsia" w:ascii="仿宋" w:hAnsi="仿宋" w:eastAsia="仿宋"/>
                <w:szCs w:val="21"/>
              </w:rPr>
              <w:t>3.除上述规定的情形之外，评审小组在评审过程中，不得接收来自评审现场以外的任何形式的文件资料。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5</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 w:hAnsi="仿宋" w:eastAsia="仿宋"/>
                <w:szCs w:val="21"/>
              </w:rPr>
            </w:pPr>
            <w:r>
              <w:rPr>
                <w:rFonts w:hint="eastAsia" w:ascii="仿宋" w:hAnsi="仿宋" w:eastAsia="仿宋"/>
                <w:szCs w:val="21"/>
              </w:rPr>
              <w:t>评审标准</w:t>
            </w:r>
          </w:p>
        </w:tc>
        <w:tc>
          <w:tcPr>
            <w:tcW w:w="6624" w:type="dxa"/>
            <w:tcBorders>
              <w:top w:val="single" w:color="auto" w:sz="4" w:space="0"/>
              <w:left w:val="single" w:color="auto" w:sz="4" w:space="0"/>
              <w:bottom w:val="single" w:color="auto" w:sz="4" w:space="0"/>
              <w:right w:val="single" w:color="auto" w:sz="4" w:space="0"/>
            </w:tcBorders>
            <w:vAlign w:val="center"/>
          </w:tcPr>
          <w:p>
            <w:pPr>
              <w:pStyle w:val="7"/>
              <w:widowControl/>
              <w:spacing w:line="240" w:lineRule="atLeast"/>
              <w:jc w:val="both"/>
              <w:rPr>
                <w:rFonts w:ascii="仿宋" w:hAnsi="仿宋" w:eastAsia="仿宋"/>
                <w:szCs w:val="21"/>
              </w:rPr>
            </w:pPr>
            <w:r>
              <w:rPr>
                <w:rFonts w:hint="eastAsia" w:ascii="仿宋" w:hAnsi="仿宋" w:eastAsia="仿宋"/>
                <w:szCs w:val="21"/>
              </w:rPr>
              <w:t xml:space="preserve">1.由评审人员对所有有效竞投文件进行评审和排序。（具体评审标准见后附表） </w:t>
            </w:r>
          </w:p>
          <w:p>
            <w:pPr>
              <w:pStyle w:val="7"/>
              <w:widowControl/>
              <w:spacing w:line="240" w:lineRule="atLeast"/>
              <w:jc w:val="both"/>
              <w:rPr>
                <w:rFonts w:ascii="仿宋" w:hAnsi="仿宋" w:eastAsia="仿宋"/>
                <w:szCs w:val="21"/>
              </w:rPr>
            </w:pPr>
            <w:r>
              <w:rPr>
                <w:rFonts w:hint="eastAsia" w:ascii="仿宋" w:hAnsi="仿宋" w:eastAsia="仿宋"/>
                <w:szCs w:val="21"/>
              </w:rPr>
              <w:t>2.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tc>
      </w:tr>
    </w:tbl>
    <w:p>
      <w:pPr>
        <w:rPr>
          <w:rFonts w:ascii="仿宋" w:hAnsi="仿宋" w:eastAsia="仿宋"/>
        </w:rPr>
      </w:pPr>
    </w:p>
    <w:p>
      <w:pPr>
        <w:rPr>
          <w:rFonts w:ascii="仿宋" w:hAnsi="仿宋" w:eastAsia="仿宋"/>
        </w:rPr>
      </w:pPr>
    </w:p>
    <w:bookmarkEnd w:id="2"/>
    <w:bookmarkEnd w:id="3"/>
    <w:bookmarkEnd w:id="4"/>
    <w:bookmarkEnd w:id="5"/>
    <w:bookmarkEnd w:id="6"/>
    <w:p>
      <w:pPr>
        <w:pStyle w:val="6"/>
        <w:spacing w:line="240" w:lineRule="auto"/>
        <w:rPr>
          <w:rFonts w:ascii="仿宋" w:hAnsi="仿宋" w:eastAsia="仿宋"/>
          <w:b w:val="0"/>
          <w:sz w:val="24"/>
          <w:szCs w:val="24"/>
        </w:rPr>
      </w:pPr>
      <w:bookmarkStart w:id="9" w:name="_Toc334797765"/>
      <w:r>
        <w:rPr>
          <w:rFonts w:ascii="仿宋" w:hAnsi="仿宋" w:eastAsia="仿宋"/>
          <w:b w:val="0"/>
          <w:sz w:val="24"/>
          <w:szCs w:val="24"/>
        </w:rPr>
        <w:br w:type="page"/>
      </w:r>
      <w:r>
        <w:rPr>
          <w:rFonts w:hint="eastAsia" w:ascii="仿宋" w:hAnsi="仿宋" w:eastAsia="仿宋"/>
          <w:b w:val="0"/>
          <w:sz w:val="24"/>
          <w:szCs w:val="24"/>
        </w:rPr>
        <w:t>评审/选定方法及标准-附表：</w:t>
      </w:r>
    </w:p>
    <w:p>
      <w:pPr>
        <w:pStyle w:val="6"/>
        <w:spacing w:line="240" w:lineRule="auto"/>
        <w:jc w:val="center"/>
        <w:rPr>
          <w:rFonts w:ascii="仿宋_GB2312" w:hAnsi="宋体" w:eastAsia="仿宋_GB2312" w:cs="宋体"/>
          <w:sz w:val="30"/>
          <w:szCs w:val="30"/>
        </w:rPr>
      </w:pPr>
      <w:bookmarkStart w:id="10" w:name="OLE_LINK2"/>
      <w:bookmarkStart w:id="11" w:name="OLE_LINK3"/>
      <w:r>
        <w:rPr>
          <w:rFonts w:hint="eastAsia" w:ascii="仿宋_GB2312" w:hAnsi="宋体" w:eastAsia="仿宋_GB2312" w:cs="宋体"/>
          <w:sz w:val="30"/>
          <w:szCs w:val="30"/>
        </w:rPr>
        <w:t>资格/符合性审查表</w:t>
      </w:r>
      <w:bookmarkEnd w:id="9"/>
    </w:p>
    <w:p>
      <w:pPr>
        <w:spacing w:line="360" w:lineRule="auto"/>
        <w:jc w:val="left"/>
        <w:rPr>
          <w:rFonts w:ascii="仿宋" w:hAnsi="仿宋" w:eastAsia="仿宋"/>
          <w:szCs w:val="21"/>
        </w:rPr>
      </w:pPr>
      <w:r>
        <w:rPr>
          <w:rFonts w:hint="eastAsia" w:ascii="仿宋" w:hAnsi="仿宋" w:eastAsia="仿宋"/>
          <w:szCs w:val="21"/>
        </w:rPr>
        <w:t>项目名称：禧悦府项目</w:t>
      </w:r>
      <w:r>
        <w:rPr>
          <w:rFonts w:hint="eastAsia" w:ascii="仿宋" w:hAnsi="仿宋" w:eastAsia="仿宋"/>
          <w:szCs w:val="21"/>
          <w:lang w:eastAsia="zh-CN"/>
        </w:rPr>
        <w:t>停车场及导视围挡物料制作</w:t>
      </w:r>
      <w:r>
        <w:rPr>
          <w:rFonts w:hint="eastAsia" w:ascii="仿宋" w:hAnsi="仿宋" w:eastAsia="仿宋"/>
          <w:szCs w:val="21"/>
        </w:rPr>
        <w:t xml:space="preserve">服务项目  </w:t>
      </w:r>
    </w:p>
    <w:p>
      <w:pPr>
        <w:spacing w:line="360" w:lineRule="auto"/>
        <w:jc w:val="center"/>
        <w:rPr>
          <w:rFonts w:ascii="仿宋" w:hAnsi="仿宋" w:eastAsia="仿宋"/>
          <w:szCs w:val="21"/>
        </w:rPr>
      </w:pPr>
      <w:r>
        <w:rPr>
          <w:rFonts w:hint="eastAsia" w:ascii="仿宋" w:hAnsi="仿宋" w:eastAsia="仿宋"/>
          <w:szCs w:val="21"/>
        </w:rPr>
        <w:t xml:space="preserve">                                    （请在通过符合性审查框中打“√”，反之打“×”。）</w:t>
      </w:r>
    </w:p>
    <w:tbl>
      <w:tblPr>
        <w:tblStyle w:val="14"/>
        <w:tblW w:w="9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序号</w:t>
            </w:r>
          </w:p>
        </w:tc>
        <w:tc>
          <w:tcPr>
            <w:tcW w:w="4820" w:type="dxa"/>
            <w:vAlign w:val="center"/>
          </w:tcPr>
          <w:p>
            <w:pPr>
              <w:jc w:val="center"/>
              <w:rPr>
                <w:rFonts w:ascii="仿宋" w:hAnsi="仿宋" w:eastAsia="仿宋"/>
                <w:color w:val="000000"/>
                <w:szCs w:val="21"/>
              </w:rPr>
            </w:pPr>
            <w:r>
              <w:rPr>
                <w:rFonts w:hint="eastAsia" w:ascii="仿宋" w:hAnsi="仿宋" w:eastAsia="仿宋"/>
                <w:bCs/>
                <w:color w:val="000000"/>
                <w:szCs w:val="21"/>
              </w:rPr>
              <w:t>评审内容</w:t>
            </w:r>
          </w:p>
        </w:tc>
        <w:tc>
          <w:tcPr>
            <w:tcW w:w="134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竞投人A</w:t>
            </w:r>
          </w:p>
        </w:tc>
        <w:tc>
          <w:tcPr>
            <w:tcW w:w="1417"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竞投人B</w:t>
            </w:r>
          </w:p>
        </w:tc>
        <w:tc>
          <w:tcPr>
            <w:tcW w:w="1276" w:type="dxa"/>
            <w:vAlign w:val="center"/>
          </w:tcPr>
          <w:p>
            <w:pPr>
              <w:jc w:val="center"/>
              <w:rPr>
                <w:rFonts w:ascii="仿宋" w:hAnsi="仿宋" w:eastAsia="仿宋" w:cs="宋体"/>
                <w:bCs/>
                <w:color w:val="000000"/>
                <w:szCs w:val="21"/>
              </w:rPr>
            </w:pPr>
            <w:r>
              <w:rPr>
                <w:rFonts w:hint="eastAsia" w:ascii="仿宋" w:hAnsi="仿宋" w:eastAsia="仿宋" w:cs="宋体"/>
                <w:bCs/>
                <w:color w:val="000000"/>
                <w:szCs w:val="21"/>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1</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竞投人必须是国内合法注册的法人或其他组织,</w:t>
            </w:r>
            <w:r>
              <w:rPr>
                <w:rFonts w:hint="eastAsia" w:ascii="仿宋" w:hAnsi="仿宋" w:eastAsia="仿宋"/>
                <w:szCs w:val="21"/>
              </w:rPr>
              <w:t xml:space="preserve"> 并已办理合法税务登记，具有开具相应发票能力；</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2</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有效法人证明书及授权委托书；</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vAlign w:val="center"/>
          </w:tcPr>
          <w:p>
            <w:pPr>
              <w:jc w:val="center"/>
              <w:rPr>
                <w:rFonts w:ascii="仿宋" w:hAnsi="仿宋" w:eastAsia="仿宋"/>
                <w:color w:val="000000"/>
                <w:szCs w:val="21"/>
              </w:rPr>
            </w:pPr>
            <w:r>
              <w:rPr>
                <w:rFonts w:hint="eastAsia" w:ascii="仿宋" w:hAnsi="仿宋" w:eastAsia="仿宋"/>
                <w:color w:val="000000"/>
                <w:szCs w:val="21"/>
              </w:rPr>
              <w:t>3</w:t>
            </w:r>
          </w:p>
        </w:tc>
        <w:tc>
          <w:tcPr>
            <w:tcW w:w="4820" w:type="dxa"/>
            <w:vAlign w:val="center"/>
          </w:tcPr>
          <w:p>
            <w:pPr>
              <w:rPr>
                <w:rFonts w:ascii="仿宋" w:hAnsi="仿宋" w:eastAsia="仿宋"/>
                <w:color w:val="000000"/>
                <w:szCs w:val="21"/>
              </w:rPr>
            </w:pPr>
            <w:r>
              <w:rPr>
                <w:rFonts w:hint="eastAsia" w:ascii="仿宋" w:hAnsi="仿宋" w:eastAsia="仿宋"/>
                <w:color w:val="000000"/>
                <w:szCs w:val="21"/>
              </w:rPr>
              <w:t>竞投报价唯一且不高于招选人需求规定的最高限价。</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结论（通过/不通过）</w:t>
            </w:r>
          </w:p>
        </w:tc>
        <w:tc>
          <w:tcPr>
            <w:tcW w:w="1346" w:type="dxa"/>
            <w:vAlign w:val="center"/>
          </w:tcPr>
          <w:p>
            <w:pPr>
              <w:rPr>
                <w:rFonts w:ascii="仿宋" w:hAnsi="仿宋" w:eastAsia="仿宋"/>
                <w:color w:val="000000"/>
                <w:szCs w:val="21"/>
              </w:rPr>
            </w:pPr>
          </w:p>
        </w:tc>
        <w:tc>
          <w:tcPr>
            <w:tcW w:w="1417" w:type="dxa"/>
            <w:vAlign w:val="center"/>
          </w:tcPr>
          <w:p>
            <w:pPr>
              <w:rPr>
                <w:rFonts w:ascii="仿宋" w:hAnsi="仿宋" w:eastAsia="仿宋"/>
                <w:color w:val="000000"/>
                <w:szCs w:val="21"/>
              </w:rPr>
            </w:pPr>
          </w:p>
        </w:tc>
        <w:tc>
          <w:tcPr>
            <w:tcW w:w="1276" w:type="dxa"/>
            <w:vAlign w:val="center"/>
          </w:tcPr>
          <w:p>
            <w:pPr>
              <w:rPr>
                <w:rFonts w:ascii="仿宋" w:hAnsi="仿宋" w:eastAsia="仿宋"/>
                <w:color w:val="000000"/>
                <w:szCs w:val="21"/>
              </w:rPr>
            </w:pPr>
          </w:p>
        </w:tc>
      </w:tr>
    </w:tbl>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bCs/>
          <w:color w:val="000000"/>
          <w:sz w:val="32"/>
          <w:szCs w:val="32"/>
        </w:rPr>
      </w:pPr>
      <w:r>
        <w:rPr>
          <w:rFonts w:ascii="宋体" w:hAnsi="宋体" w:cs="宋体"/>
          <w:b/>
          <w:bCs/>
          <w:color w:val="000000"/>
          <w:sz w:val="32"/>
          <w:szCs w:val="32"/>
        </w:rPr>
        <w:br w:type="page"/>
      </w:r>
      <w:r>
        <w:rPr>
          <w:rFonts w:hint="eastAsia" w:ascii="宋体" w:hAnsi="宋体" w:cs="宋体"/>
          <w:b/>
          <w:bCs/>
          <w:color w:val="000000"/>
          <w:sz w:val="32"/>
          <w:szCs w:val="32"/>
        </w:rPr>
        <w:t>综合评分表</w:t>
      </w:r>
    </w:p>
    <w:bookmarkEnd w:id="10"/>
    <w:bookmarkEnd w:id="11"/>
    <w:tbl>
      <w:tblPr>
        <w:tblStyle w:val="14"/>
        <w:tblW w:w="9498" w:type="dxa"/>
        <w:tblInd w:w="-601" w:type="dxa"/>
        <w:tblLayout w:type="autofit"/>
        <w:tblCellMar>
          <w:top w:w="0" w:type="dxa"/>
          <w:left w:w="108" w:type="dxa"/>
          <w:bottom w:w="0" w:type="dxa"/>
          <w:right w:w="108" w:type="dxa"/>
        </w:tblCellMar>
      </w:tblPr>
      <w:tblGrid>
        <w:gridCol w:w="1135"/>
        <w:gridCol w:w="850"/>
        <w:gridCol w:w="1276"/>
        <w:gridCol w:w="1134"/>
        <w:gridCol w:w="5103"/>
      </w:tblGrid>
      <w:tr>
        <w:tblPrEx>
          <w:tblCellMar>
            <w:top w:w="0" w:type="dxa"/>
            <w:left w:w="108" w:type="dxa"/>
            <w:bottom w:w="0" w:type="dxa"/>
            <w:right w:w="108" w:type="dxa"/>
          </w:tblCellMar>
        </w:tblPrEx>
        <w:trPr>
          <w:trHeight w:val="510" w:hRule="atLeast"/>
        </w:trPr>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评分项目</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评分因素</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分值分配</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说明</w:t>
            </w:r>
          </w:p>
        </w:tc>
      </w:tr>
      <w:tr>
        <w:tblPrEx>
          <w:tblCellMar>
            <w:top w:w="0" w:type="dxa"/>
            <w:left w:w="108" w:type="dxa"/>
            <w:bottom w:w="0" w:type="dxa"/>
            <w:right w:w="108" w:type="dxa"/>
          </w:tblCellMar>
        </w:tblPrEx>
        <w:trPr>
          <w:trHeight w:val="765"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rPr>
              <w:t>价格</w:t>
            </w:r>
            <w:r>
              <w:rPr>
                <w:rFonts w:hint="eastAsia" w:ascii="仿宋" w:hAnsi="仿宋" w:eastAsia="仿宋" w:cs="宋体"/>
                <w:kern w:val="0"/>
                <w:szCs w:val="21"/>
                <w:lang w:val="en-US" w:eastAsia="zh-CN"/>
              </w:rPr>
              <w:t>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价格得分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r>
              <w:rPr>
                <w:rFonts w:hint="eastAsia" w:ascii="仿宋" w:hAnsi="仿宋" w:eastAsia="仿宋" w:cs="宋体"/>
                <w:kern w:val="0"/>
                <w:szCs w:val="21"/>
              </w:rPr>
              <w:t>0分</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通过本项目资格及符合性检查且若位于[项目限价*80%，项目限价]区间的最低竞投报价（不含税，下同）为评标基准价得50分，其余报价单位的报价每高于评标基准价5%，扣2分，未达到5%按5%扣取，得出经济分，精确到小数点后两位。凡不在本项目设置的合理报价区间范围内的报价单位得0分。</w:t>
            </w:r>
          </w:p>
        </w:tc>
      </w:tr>
      <w:tr>
        <w:tblPrEx>
          <w:tblCellMar>
            <w:top w:w="0" w:type="dxa"/>
            <w:left w:w="108" w:type="dxa"/>
            <w:bottom w:w="0" w:type="dxa"/>
            <w:right w:w="108" w:type="dxa"/>
          </w:tblCellMar>
        </w:tblPrEx>
        <w:trPr>
          <w:trHeight w:val="102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商务评分</w:t>
            </w:r>
          </w:p>
        </w:tc>
        <w:tc>
          <w:tcPr>
            <w:tcW w:w="85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公司业绩及同类经验</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5分</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公司资信情况良好，服务过同类性质项目，每提供相应合同或中标通知书等相关证明文件获得1</w:t>
            </w:r>
            <w:r>
              <w:rPr>
                <w:rFonts w:ascii="仿宋" w:hAnsi="仿宋" w:eastAsia="仿宋" w:cs="宋体"/>
                <w:kern w:val="0"/>
                <w:szCs w:val="21"/>
              </w:rPr>
              <w:t>分，</w:t>
            </w:r>
            <w:r>
              <w:rPr>
                <w:rFonts w:hint="eastAsia" w:ascii="仿宋" w:hAnsi="仿宋" w:eastAsia="仿宋" w:cs="宋体"/>
                <w:kern w:val="0"/>
                <w:szCs w:val="21"/>
              </w:rPr>
              <w:t>最高得5分。</w:t>
            </w:r>
          </w:p>
        </w:tc>
      </w:tr>
      <w:tr>
        <w:tblPrEx>
          <w:tblCellMar>
            <w:top w:w="0" w:type="dxa"/>
            <w:left w:w="108" w:type="dxa"/>
            <w:bottom w:w="0" w:type="dxa"/>
            <w:right w:w="108" w:type="dxa"/>
          </w:tblCellMar>
        </w:tblPrEx>
        <w:trPr>
          <w:trHeight w:val="1200" w:hRule="atLeast"/>
        </w:trPr>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服务方案评分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40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过往案例作品评分内容创意度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5</w:t>
            </w:r>
            <w:r>
              <w:rPr>
                <w:rFonts w:hint="eastAsia" w:ascii="仿宋" w:hAnsi="仿宋" w:eastAsia="仿宋" w:cs="宋体"/>
                <w:kern w:val="0"/>
                <w:szCs w:val="21"/>
              </w:rPr>
              <w:t>分</w:t>
            </w:r>
          </w:p>
        </w:tc>
        <w:tc>
          <w:tcPr>
            <w:tcW w:w="5103" w:type="dxa"/>
            <w:tcBorders>
              <w:top w:val="nil"/>
              <w:left w:val="nil"/>
              <w:bottom w:val="single" w:color="auto" w:sz="4" w:space="0"/>
              <w:right w:val="single" w:color="auto" w:sz="4" w:space="0"/>
            </w:tcBorders>
            <w:shd w:val="clear" w:color="auto" w:fill="auto"/>
            <w:vAlign w:val="center"/>
          </w:tcPr>
          <w:p>
            <w:pPr>
              <w:pStyle w:val="30"/>
              <w:widowControl/>
              <w:numPr>
                <w:ilvl w:val="0"/>
                <w:numId w:val="2"/>
              </w:numPr>
              <w:ind w:firstLineChars="0"/>
              <w:jc w:val="left"/>
              <w:rPr>
                <w:rFonts w:ascii="仿宋" w:hAnsi="仿宋" w:eastAsia="仿宋" w:cs="宋体"/>
                <w:kern w:val="0"/>
                <w:szCs w:val="21"/>
              </w:rPr>
            </w:pPr>
            <w:r>
              <w:rPr>
                <w:rFonts w:hint="eastAsia" w:ascii="仿宋" w:hAnsi="仿宋" w:eastAsia="仿宋" w:cs="宋体"/>
                <w:kern w:val="0"/>
                <w:szCs w:val="21"/>
              </w:rPr>
              <w:t>内容以及展现形式新颖，展示效果理想</w:t>
            </w:r>
            <w:r>
              <w:rPr>
                <w:rFonts w:hint="eastAsia" w:ascii="仿宋" w:hAnsi="仿宋" w:eastAsia="仿宋" w:cs="宋体"/>
                <w:kern w:val="0"/>
                <w:szCs w:val="21"/>
                <w:lang w:val="en-US" w:eastAsia="zh-CN"/>
              </w:rPr>
              <w:t>4-5</w:t>
            </w:r>
            <w:r>
              <w:rPr>
                <w:rFonts w:ascii="仿宋" w:hAnsi="仿宋" w:eastAsia="仿宋" w:cs="宋体"/>
                <w:kern w:val="0"/>
                <w:szCs w:val="21"/>
              </w:rPr>
              <w:t>分</w:t>
            </w:r>
          </w:p>
          <w:p>
            <w:pPr>
              <w:pStyle w:val="30"/>
              <w:widowControl/>
              <w:numPr>
                <w:ilvl w:val="0"/>
                <w:numId w:val="2"/>
              </w:numPr>
              <w:ind w:firstLineChars="0"/>
              <w:jc w:val="left"/>
              <w:rPr>
                <w:rFonts w:ascii="仿宋" w:hAnsi="仿宋" w:eastAsia="仿宋" w:cs="宋体"/>
                <w:kern w:val="0"/>
                <w:szCs w:val="21"/>
              </w:rPr>
            </w:pPr>
            <w:r>
              <w:rPr>
                <w:rFonts w:hint="eastAsia" w:ascii="仿宋" w:hAnsi="仿宋" w:eastAsia="仿宋" w:cs="宋体"/>
                <w:kern w:val="0"/>
                <w:szCs w:val="21"/>
              </w:rPr>
              <w:t>内容及展现形式较好，展示效果较好</w:t>
            </w:r>
            <w:r>
              <w:rPr>
                <w:rFonts w:hint="eastAsia" w:ascii="仿宋" w:hAnsi="仿宋" w:eastAsia="仿宋" w:cs="宋体"/>
                <w:kern w:val="0"/>
                <w:szCs w:val="21"/>
                <w:lang w:val="en-US" w:eastAsia="zh-CN"/>
              </w:rPr>
              <w:t>2</w:t>
            </w:r>
            <w:r>
              <w:rPr>
                <w:rFonts w:ascii="仿宋" w:hAnsi="仿宋" w:eastAsia="仿宋" w:cs="宋体"/>
                <w:kern w:val="0"/>
                <w:szCs w:val="21"/>
              </w:rPr>
              <w:t>-</w:t>
            </w:r>
            <w:r>
              <w:rPr>
                <w:rFonts w:hint="eastAsia" w:ascii="仿宋" w:hAnsi="仿宋" w:eastAsia="仿宋" w:cs="宋体"/>
                <w:kern w:val="0"/>
                <w:szCs w:val="21"/>
                <w:lang w:val="en-US" w:eastAsia="zh-CN"/>
              </w:rPr>
              <w:t>3</w:t>
            </w:r>
            <w:r>
              <w:rPr>
                <w:rFonts w:ascii="仿宋" w:hAnsi="仿宋" w:eastAsia="仿宋" w:cs="宋体"/>
                <w:kern w:val="0"/>
                <w:szCs w:val="21"/>
              </w:rPr>
              <w:t>分</w:t>
            </w:r>
          </w:p>
          <w:p>
            <w:pPr>
              <w:pStyle w:val="30"/>
              <w:widowControl/>
              <w:numPr>
                <w:ilvl w:val="0"/>
                <w:numId w:val="2"/>
              </w:numPr>
              <w:ind w:firstLineChars="0"/>
              <w:jc w:val="left"/>
              <w:rPr>
                <w:rFonts w:ascii="仿宋" w:hAnsi="仿宋" w:eastAsia="仿宋" w:cs="宋体"/>
                <w:kern w:val="0"/>
                <w:szCs w:val="21"/>
              </w:rPr>
            </w:pPr>
            <w:r>
              <w:rPr>
                <w:rFonts w:hint="eastAsia" w:ascii="仿宋" w:hAnsi="仿宋" w:eastAsia="仿宋" w:cs="宋体"/>
                <w:kern w:val="0"/>
                <w:szCs w:val="21"/>
              </w:rPr>
              <w:t>内容及展现形式较为普通 ，展示效果一般</w:t>
            </w:r>
            <w:r>
              <w:rPr>
                <w:rFonts w:hint="eastAsia" w:ascii="仿宋" w:hAnsi="仿宋" w:eastAsia="仿宋" w:cs="宋体"/>
                <w:kern w:val="0"/>
                <w:szCs w:val="21"/>
                <w:lang w:val="en-US" w:eastAsia="zh-CN"/>
              </w:rPr>
              <w:t>0</w:t>
            </w:r>
            <w:r>
              <w:rPr>
                <w:rFonts w:ascii="仿宋" w:hAnsi="仿宋" w:eastAsia="仿宋" w:cs="宋体"/>
                <w:kern w:val="0"/>
                <w:szCs w:val="21"/>
              </w:rPr>
              <w:t>-</w:t>
            </w:r>
            <w:r>
              <w:rPr>
                <w:rFonts w:hint="eastAsia" w:ascii="仿宋" w:hAnsi="仿宋" w:eastAsia="仿宋" w:cs="宋体"/>
                <w:kern w:val="0"/>
                <w:szCs w:val="21"/>
                <w:lang w:val="en-US" w:eastAsia="zh-CN"/>
              </w:rPr>
              <w:t>1</w:t>
            </w:r>
            <w:r>
              <w:rPr>
                <w:rFonts w:ascii="仿宋" w:hAnsi="仿宋" w:eastAsia="仿宋" w:cs="宋体"/>
                <w:kern w:val="0"/>
                <w:szCs w:val="21"/>
              </w:rPr>
              <w:t>分</w:t>
            </w:r>
          </w:p>
        </w:tc>
      </w:tr>
      <w:tr>
        <w:tblPrEx>
          <w:tblCellMar>
            <w:top w:w="0" w:type="dxa"/>
            <w:left w:w="108" w:type="dxa"/>
            <w:bottom w:w="0" w:type="dxa"/>
            <w:right w:w="108" w:type="dxa"/>
          </w:tblCellMar>
        </w:tblPrEx>
        <w:trPr>
          <w:trHeight w:val="1489"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使用材质评分</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5</w:t>
            </w:r>
            <w:r>
              <w:rPr>
                <w:rFonts w:hint="eastAsia" w:ascii="仿宋" w:hAnsi="仿宋" w:eastAsia="仿宋" w:cs="宋体"/>
                <w:kern w:val="0"/>
                <w:szCs w:val="21"/>
              </w:rPr>
              <w:t>分</w:t>
            </w:r>
          </w:p>
        </w:tc>
        <w:tc>
          <w:tcPr>
            <w:tcW w:w="5103" w:type="dxa"/>
            <w:tcBorders>
              <w:top w:val="nil"/>
              <w:left w:val="nil"/>
              <w:bottom w:val="single" w:color="auto" w:sz="4" w:space="0"/>
              <w:right w:val="single" w:color="auto" w:sz="4" w:space="0"/>
            </w:tcBorders>
            <w:shd w:val="clear" w:color="auto" w:fill="auto"/>
            <w:vAlign w:val="center"/>
          </w:tcPr>
          <w:p>
            <w:pPr>
              <w:pStyle w:val="30"/>
              <w:widowControl/>
              <w:numPr>
                <w:ilvl w:val="0"/>
                <w:numId w:val="3"/>
              </w:numPr>
              <w:ind w:firstLineChars="0"/>
              <w:jc w:val="left"/>
              <w:rPr>
                <w:rFonts w:ascii="仿宋" w:hAnsi="仿宋" w:eastAsia="仿宋" w:cs="宋体"/>
                <w:kern w:val="0"/>
                <w:szCs w:val="21"/>
              </w:rPr>
            </w:pPr>
            <w:r>
              <w:rPr>
                <w:rFonts w:hint="eastAsia" w:ascii="仿宋" w:hAnsi="仿宋" w:eastAsia="仿宋" w:cs="宋体"/>
                <w:kern w:val="0"/>
                <w:szCs w:val="21"/>
                <w:lang w:val="en-US" w:eastAsia="zh-CN"/>
              </w:rPr>
              <w:t>提供主材小样，通过小样和报告评选材料，材质优秀4-5分</w:t>
            </w:r>
          </w:p>
          <w:p>
            <w:pPr>
              <w:pStyle w:val="30"/>
              <w:widowControl/>
              <w:numPr>
                <w:ilvl w:val="0"/>
                <w:numId w:val="3"/>
              </w:numPr>
              <w:ind w:firstLineChars="0"/>
              <w:jc w:val="left"/>
              <w:rPr>
                <w:rFonts w:ascii="仿宋" w:hAnsi="仿宋" w:eastAsia="仿宋" w:cs="宋体"/>
                <w:kern w:val="0"/>
                <w:szCs w:val="21"/>
              </w:rPr>
            </w:pPr>
            <w:r>
              <w:rPr>
                <w:rFonts w:hint="eastAsia" w:ascii="仿宋" w:hAnsi="仿宋" w:eastAsia="仿宋" w:cs="宋体"/>
                <w:kern w:val="0"/>
                <w:szCs w:val="21"/>
                <w:lang w:val="en-US" w:eastAsia="zh-CN"/>
              </w:rPr>
              <w:t>提供主材小样，通过小样和报告评选材料，材质良好2-3分</w:t>
            </w:r>
          </w:p>
          <w:p>
            <w:pPr>
              <w:pStyle w:val="30"/>
              <w:widowControl/>
              <w:numPr>
                <w:ilvl w:val="0"/>
                <w:numId w:val="3"/>
              </w:numPr>
              <w:ind w:firstLineChars="0"/>
              <w:jc w:val="left"/>
              <w:rPr>
                <w:rFonts w:ascii="仿宋" w:hAnsi="仿宋" w:eastAsia="仿宋" w:cs="宋体"/>
                <w:kern w:val="0"/>
                <w:szCs w:val="21"/>
              </w:rPr>
            </w:pPr>
            <w:r>
              <w:rPr>
                <w:rFonts w:hint="eastAsia" w:ascii="仿宋" w:hAnsi="仿宋" w:eastAsia="仿宋" w:cs="宋体"/>
                <w:kern w:val="0"/>
                <w:szCs w:val="21"/>
                <w:lang w:val="en-US" w:eastAsia="zh-CN"/>
              </w:rPr>
              <w:t>提供主材小样，通过小样和报告评选材料，材质一般0-1分</w:t>
            </w:r>
          </w:p>
        </w:tc>
      </w:tr>
      <w:tr>
        <w:tblPrEx>
          <w:tblCellMar>
            <w:top w:w="0" w:type="dxa"/>
            <w:left w:w="108" w:type="dxa"/>
            <w:bottom w:w="0" w:type="dxa"/>
            <w:right w:w="108" w:type="dxa"/>
          </w:tblCellMar>
        </w:tblPrEx>
        <w:trPr>
          <w:trHeight w:val="1489"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方案可执行力，以及完成时间的执行力</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ascii="仿宋" w:hAnsi="仿宋" w:eastAsia="仿宋" w:cs="宋体"/>
                <w:kern w:val="0"/>
                <w:szCs w:val="21"/>
              </w:rPr>
              <w:t>30分</w:t>
            </w:r>
          </w:p>
        </w:tc>
        <w:tc>
          <w:tcPr>
            <w:tcW w:w="5103" w:type="dxa"/>
            <w:tcBorders>
              <w:top w:val="nil"/>
              <w:left w:val="nil"/>
              <w:bottom w:val="single" w:color="auto" w:sz="4" w:space="0"/>
              <w:right w:val="single" w:color="auto" w:sz="4" w:space="0"/>
            </w:tcBorders>
            <w:shd w:val="clear" w:color="auto" w:fill="auto"/>
            <w:vAlign w:val="center"/>
          </w:tcPr>
          <w:p>
            <w:pPr>
              <w:pStyle w:val="30"/>
              <w:widowControl/>
              <w:numPr>
                <w:ilvl w:val="0"/>
                <w:numId w:val="4"/>
              </w:numPr>
              <w:ind w:firstLineChars="0"/>
              <w:jc w:val="left"/>
              <w:rPr>
                <w:rFonts w:ascii="仿宋" w:hAnsi="仿宋" w:eastAsia="仿宋" w:cs="宋体"/>
                <w:kern w:val="0"/>
                <w:szCs w:val="21"/>
              </w:rPr>
            </w:pPr>
            <w:r>
              <w:rPr>
                <w:rFonts w:hint="eastAsia" w:ascii="仿宋" w:hAnsi="仿宋" w:eastAsia="仿宋" w:cs="宋体"/>
                <w:kern w:val="0"/>
                <w:szCs w:val="21"/>
              </w:rPr>
              <w:t>方案优势、设计美观、可操作性强 ，能在1</w:t>
            </w:r>
            <w:r>
              <w:rPr>
                <w:rFonts w:ascii="仿宋" w:hAnsi="仿宋" w:eastAsia="仿宋" w:cs="宋体"/>
                <w:kern w:val="0"/>
                <w:szCs w:val="21"/>
              </w:rPr>
              <w:t>0天内完善制作</w:t>
            </w:r>
            <w:r>
              <w:rPr>
                <w:rFonts w:hint="eastAsia" w:ascii="仿宋" w:hAnsi="仿宋" w:eastAsia="仿宋" w:cs="宋体"/>
                <w:kern w:val="0"/>
                <w:szCs w:val="21"/>
              </w:rPr>
              <w:t xml:space="preserve"> </w:t>
            </w:r>
            <w:r>
              <w:rPr>
                <w:rFonts w:ascii="仿宋" w:hAnsi="仿宋" w:eastAsia="仿宋" w:cs="宋体"/>
                <w:kern w:val="0"/>
                <w:szCs w:val="21"/>
              </w:rPr>
              <w:t>21-30分</w:t>
            </w:r>
          </w:p>
          <w:p>
            <w:pPr>
              <w:pStyle w:val="30"/>
              <w:widowControl/>
              <w:numPr>
                <w:ilvl w:val="0"/>
                <w:numId w:val="4"/>
              </w:numPr>
              <w:ind w:firstLineChars="0"/>
              <w:jc w:val="left"/>
              <w:rPr>
                <w:rFonts w:ascii="仿宋" w:hAnsi="仿宋" w:eastAsia="仿宋" w:cs="宋体"/>
                <w:kern w:val="0"/>
                <w:szCs w:val="21"/>
              </w:rPr>
            </w:pPr>
            <w:r>
              <w:rPr>
                <w:rFonts w:hint="eastAsia" w:ascii="仿宋" w:hAnsi="仿宋" w:eastAsia="仿宋" w:cs="宋体"/>
                <w:kern w:val="0"/>
                <w:szCs w:val="21"/>
              </w:rPr>
              <w:t>方案良好、设计简洁、可操作性较强，能在1</w:t>
            </w:r>
            <w:r>
              <w:rPr>
                <w:rFonts w:ascii="仿宋" w:hAnsi="仿宋" w:eastAsia="仿宋" w:cs="宋体"/>
                <w:kern w:val="0"/>
                <w:szCs w:val="21"/>
              </w:rPr>
              <w:t>2天内完善制作</w:t>
            </w:r>
            <w:r>
              <w:rPr>
                <w:rFonts w:hint="eastAsia" w:ascii="仿宋" w:hAnsi="仿宋" w:eastAsia="仿宋" w:cs="宋体"/>
                <w:kern w:val="0"/>
                <w:szCs w:val="21"/>
              </w:rPr>
              <w:t xml:space="preserve"> </w:t>
            </w:r>
            <w:r>
              <w:rPr>
                <w:rFonts w:ascii="仿宋" w:hAnsi="仿宋" w:eastAsia="仿宋" w:cs="宋体"/>
                <w:kern w:val="0"/>
                <w:szCs w:val="21"/>
              </w:rPr>
              <w:t>11-20分</w:t>
            </w:r>
          </w:p>
          <w:p>
            <w:pPr>
              <w:pStyle w:val="30"/>
              <w:widowControl/>
              <w:numPr>
                <w:ilvl w:val="0"/>
                <w:numId w:val="4"/>
              </w:numPr>
              <w:ind w:firstLineChars="0"/>
              <w:jc w:val="left"/>
              <w:rPr>
                <w:rFonts w:ascii="仿宋" w:hAnsi="仿宋" w:eastAsia="仿宋" w:cs="宋体"/>
                <w:kern w:val="0"/>
                <w:szCs w:val="21"/>
              </w:rPr>
            </w:pPr>
            <w:r>
              <w:rPr>
                <w:rFonts w:ascii="仿宋" w:hAnsi="仿宋" w:eastAsia="仿宋" w:cs="宋体"/>
                <w:kern w:val="0"/>
                <w:szCs w:val="21"/>
              </w:rPr>
              <w:t>方案合格、设计普通、有一定可操作性，能在</w:t>
            </w:r>
            <w:r>
              <w:rPr>
                <w:rFonts w:hint="eastAsia" w:ascii="仿宋" w:hAnsi="仿宋" w:eastAsia="仿宋" w:cs="宋体"/>
                <w:kern w:val="0"/>
                <w:szCs w:val="21"/>
              </w:rPr>
              <w:t>1</w:t>
            </w:r>
            <w:r>
              <w:rPr>
                <w:rFonts w:ascii="仿宋" w:hAnsi="仿宋" w:eastAsia="仿宋" w:cs="宋体"/>
                <w:kern w:val="0"/>
                <w:szCs w:val="21"/>
              </w:rPr>
              <w:t>4天内完成制作</w:t>
            </w:r>
            <w:r>
              <w:rPr>
                <w:rFonts w:hint="eastAsia" w:ascii="仿宋" w:hAnsi="仿宋" w:eastAsia="仿宋" w:cs="宋体"/>
                <w:kern w:val="0"/>
                <w:szCs w:val="21"/>
              </w:rPr>
              <w:t>1</w:t>
            </w:r>
            <w:r>
              <w:rPr>
                <w:rFonts w:ascii="仿宋" w:hAnsi="仿宋" w:eastAsia="仿宋" w:cs="宋体"/>
                <w:kern w:val="0"/>
                <w:szCs w:val="21"/>
              </w:rPr>
              <w:t>-10分</w:t>
            </w:r>
          </w:p>
          <w:p>
            <w:pPr>
              <w:pStyle w:val="30"/>
              <w:widowControl/>
              <w:numPr>
                <w:ilvl w:val="0"/>
                <w:numId w:val="4"/>
              </w:numPr>
              <w:ind w:firstLineChars="0"/>
              <w:jc w:val="left"/>
              <w:rPr>
                <w:rFonts w:ascii="仿宋" w:hAnsi="仿宋" w:eastAsia="仿宋" w:cs="宋体"/>
                <w:kern w:val="0"/>
                <w:szCs w:val="21"/>
              </w:rPr>
            </w:pPr>
            <w:r>
              <w:rPr>
                <w:rFonts w:ascii="仿宋" w:hAnsi="仿宋" w:eastAsia="仿宋" w:cs="宋体"/>
                <w:kern w:val="0"/>
                <w:szCs w:val="21"/>
              </w:rPr>
              <w:t>超过</w:t>
            </w:r>
            <w:r>
              <w:rPr>
                <w:rFonts w:hint="eastAsia" w:ascii="仿宋" w:hAnsi="仿宋" w:eastAsia="仿宋" w:cs="宋体"/>
                <w:kern w:val="0"/>
                <w:szCs w:val="21"/>
              </w:rPr>
              <w:t>1</w:t>
            </w:r>
            <w:r>
              <w:rPr>
                <w:rFonts w:ascii="仿宋" w:hAnsi="仿宋" w:eastAsia="仿宋" w:cs="宋体"/>
                <w:kern w:val="0"/>
                <w:szCs w:val="21"/>
              </w:rPr>
              <w:t>5天（含</w:t>
            </w:r>
            <w:r>
              <w:rPr>
                <w:rFonts w:hint="eastAsia" w:ascii="仿宋" w:hAnsi="仿宋" w:eastAsia="仿宋" w:cs="宋体"/>
                <w:kern w:val="0"/>
                <w:szCs w:val="21"/>
              </w:rPr>
              <w:t>1</w:t>
            </w:r>
            <w:r>
              <w:rPr>
                <w:rFonts w:ascii="仿宋" w:hAnsi="仿宋" w:eastAsia="仿宋" w:cs="宋体"/>
                <w:kern w:val="0"/>
                <w:szCs w:val="21"/>
              </w:rPr>
              <w:t>5天）完成制作</w:t>
            </w:r>
            <w:r>
              <w:rPr>
                <w:rFonts w:hint="eastAsia" w:ascii="仿宋" w:hAnsi="仿宋" w:eastAsia="仿宋" w:cs="宋体"/>
                <w:kern w:val="0"/>
                <w:szCs w:val="21"/>
              </w:rPr>
              <w:t xml:space="preserve"> 0分</w:t>
            </w:r>
          </w:p>
        </w:tc>
      </w:tr>
      <w:tr>
        <w:tblPrEx>
          <w:tblCellMar>
            <w:top w:w="0" w:type="dxa"/>
            <w:left w:w="108" w:type="dxa"/>
            <w:bottom w:w="0" w:type="dxa"/>
            <w:right w:w="108" w:type="dxa"/>
          </w:tblCellMar>
        </w:tblPrEx>
        <w:trPr>
          <w:trHeight w:val="630" w:hRule="atLeast"/>
        </w:trPr>
        <w:tc>
          <w:tcPr>
            <w:tcW w:w="11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其他承诺增值服务评分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val="en-US" w:eastAsia="zh-CN"/>
              </w:rPr>
              <w:t>质保期</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5分</w:t>
            </w:r>
          </w:p>
        </w:tc>
        <w:tc>
          <w:tcPr>
            <w:tcW w:w="5103" w:type="dxa"/>
            <w:tcBorders>
              <w:top w:val="nil"/>
              <w:left w:val="nil"/>
              <w:bottom w:val="single" w:color="auto" w:sz="4" w:space="0"/>
              <w:right w:val="single" w:color="auto" w:sz="4" w:space="0"/>
            </w:tcBorders>
            <w:shd w:val="clear" w:color="auto" w:fill="auto"/>
            <w:vAlign w:val="center"/>
          </w:tcPr>
          <w:p>
            <w:pPr>
              <w:pStyle w:val="30"/>
              <w:widowControl/>
              <w:numPr>
                <w:ilvl w:val="0"/>
                <w:numId w:val="5"/>
              </w:numPr>
              <w:ind w:firstLineChars="0"/>
              <w:jc w:val="left"/>
              <w:rPr>
                <w:rFonts w:ascii="仿宋" w:hAnsi="仿宋" w:eastAsia="仿宋" w:cs="宋体"/>
                <w:kern w:val="0"/>
                <w:szCs w:val="21"/>
              </w:rPr>
            </w:pPr>
            <w:r>
              <w:rPr>
                <w:rFonts w:hint="eastAsia" w:ascii="仿宋" w:hAnsi="仿宋" w:eastAsia="仿宋" w:cs="宋体"/>
                <w:kern w:val="0"/>
                <w:szCs w:val="21"/>
                <w:lang w:val="en-US" w:eastAsia="zh-CN"/>
              </w:rPr>
              <w:t>质保期半年以上</w:t>
            </w:r>
            <w:r>
              <w:rPr>
                <w:rFonts w:hint="eastAsia" w:ascii="仿宋" w:hAnsi="仿宋" w:eastAsia="仿宋" w:cs="宋体"/>
                <w:kern w:val="0"/>
                <w:szCs w:val="21"/>
                <w:lang w:eastAsia="zh-CN"/>
              </w:rPr>
              <w:t>，保修期内响应维修时间不得超过24小时</w:t>
            </w:r>
            <w:r>
              <w:rPr>
                <w:rFonts w:hint="eastAsia" w:ascii="仿宋" w:hAnsi="仿宋" w:eastAsia="仿宋" w:cs="宋体"/>
                <w:kern w:val="0"/>
                <w:szCs w:val="21"/>
                <w:lang w:val="en-US" w:eastAsia="zh-CN"/>
              </w:rPr>
              <w:t>4-5</w:t>
            </w:r>
            <w:r>
              <w:rPr>
                <w:rFonts w:ascii="仿宋" w:hAnsi="仿宋" w:eastAsia="仿宋" w:cs="宋体"/>
                <w:kern w:val="0"/>
                <w:szCs w:val="21"/>
              </w:rPr>
              <w:t>分</w:t>
            </w:r>
          </w:p>
          <w:p>
            <w:pPr>
              <w:pStyle w:val="30"/>
              <w:widowControl/>
              <w:numPr>
                <w:ilvl w:val="0"/>
                <w:numId w:val="5"/>
              </w:numPr>
              <w:ind w:firstLineChars="0"/>
              <w:jc w:val="left"/>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质保期3-6个月</w:t>
            </w:r>
            <w:r>
              <w:rPr>
                <w:rFonts w:hint="eastAsia" w:ascii="仿宋" w:hAnsi="仿宋" w:eastAsia="仿宋" w:cs="宋体"/>
                <w:kern w:val="0"/>
                <w:szCs w:val="21"/>
                <w:lang w:eastAsia="zh-CN"/>
              </w:rPr>
              <w:t>，保修期内响应维修时间不得超过</w:t>
            </w:r>
            <w:r>
              <w:rPr>
                <w:rFonts w:hint="eastAsia" w:ascii="仿宋" w:hAnsi="仿宋" w:eastAsia="仿宋" w:cs="宋体"/>
                <w:kern w:val="0"/>
                <w:szCs w:val="21"/>
                <w:lang w:val="en-US" w:eastAsia="zh-CN"/>
              </w:rPr>
              <w:t>48</w:t>
            </w:r>
            <w:r>
              <w:rPr>
                <w:rFonts w:hint="eastAsia" w:ascii="仿宋" w:hAnsi="仿宋" w:eastAsia="仿宋" w:cs="宋体"/>
                <w:kern w:val="0"/>
                <w:szCs w:val="21"/>
                <w:lang w:eastAsia="zh-CN"/>
              </w:rPr>
              <w:t>小时</w:t>
            </w:r>
            <w:r>
              <w:rPr>
                <w:rFonts w:hint="eastAsia" w:ascii="仿宋" w:hAnsi="仿宋" w:eastAsia="仿宋" w:cs="宋体"/>
                <w:kern w:val="0"/>
                <w:szCs w:val="21"/>
                <w:lang w:val="en-US" w:eastAsia="zh-CN"/>
              </w:rPr>
              <w:t>2-3</w:t>
            </w:r>
            <w:r>
              <w:rPr>
                <w:rFonts w:ascii="仿宋" w:hAnsi="仿宋" w:eastAsia="仿宋" w:cs="宋体"/>
                <w:kern w:val="0"/>
                <w:szCs w:val="21"/>
              </w:rPr>
              <w:t>分</w:t>
            </w:r>
          </w:p>
          <w:p>
            <w:pPr>
              <w:pStyle w:val="30"/>
              <w:widowControl/>
              <w:numPr>
                <w:ilvl w:val="0"/>
                <w:numId w:val="5"/>
              </w:numPr>
              <w:ind w:firstLineChars="0"/>
              <w:jc w:val="left"/>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质保期3个月以内</w:t>
            </w:r>
            <w:r>
              <w:rPr>
                <w:rFonts w:hint="eastAsia" w:ascii="仿宋" w:hAnsi="仿宋" w:eastAsia="仿宋" w:cs="宋体"/>
                <w:kern w:val="0"/>
                <w:szCs w:val="21"/>
                <w:lang w:eastAsia="zh-CN"/>
              </w:rPr>
              <w:t>，保修期内响应维修时间不得超过</w:t>
            </w:r>
            <w:r>
              <w:rPr>
                <w:rFonts w:hint="eastAsia" w:ascii="仿宋" w:hAnsi="仿宋" w:eastAsia="仿宋" w:cs="宋体"/>
                <w:kern w:val="0"/>
                <w:szCs w:val="21"/>
                <w:lang w:val="en-US" w:eastAsia="zh-CN"/>
              </w:rPr>
              <w:t>72</w:t>
            </w:r>
            <w:r>
              <w:rPr>
                <w:rFonts w:hint="eastAsia" w:ascii="仿宋" w:hAnsi="仿宋" w:eastAsia="仿宋" w:cs="宋体"/>
                <w:kern w:val="0"/>
                <w:szCs w:val="21"/>
                <w:lang w:eastAsia="zh-CN"/>
              </w:rPr>
              <w:t>小时</w:t>
            </w:r>
            <w:r>
              <w:rPr>
                <w:rFonts w:hint="eastAsia" w:ascii="仿宋" w:hAnsi="仿宋" w:eastAsia="仿宋" w:cs="宋体"/>
                <w:kern w:val="0"/>
                <w:szCs w:val="21"/>
                <w:lang w:val="en-US" w:eastAsia="zh-CN"/>
              </w:rPr>
              <w:t>0-1分</w:t>
            </w:r>
          </w:p>
        </w:tc>
      </w:tr>
      <w:tr>
        <w:tblPrEx>
          <w:tblCellMar>
            <w:top w:w="0" w:type="dxa"/>
            <w:left w:w="108" w:type="dxa"/>
            <w:bottom w:w="0" w:type="dxa"/>
            <w:right w:w="108" w:type="dxa"/>
          </w:tblCellMar>
        </w:tblPrEx>
        <w:trPr>
          <w:trHeight w:val="615" w:hRule="atLeast"/>
        </w:trPr>
        <w:tc>
          <w:tcPr>
            <w:tcW w:w="32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合计</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100分</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Cs w:val="21"/>
              </w:rPr>
            </w:pPr>
            <w:r>
              <w:rPr>
                <w:rFonts w:hint="eastAsia" w:ascii="仿宋" w:hAnsi="仿宋" w:eastAsia="仿宋" w:cs="宋体"/>
                <w:kern w:val="0"/>
                <w:szCs w:val="21"/>
              </w:rPr>
              <w:t>　</w:t>
            </w:r>
          </w:p>
        </w:tc>
      </w:tr>
    </w:tbl>
    <w:p>
      <w:pPr>
        <w:jc w:val="center"/>
        <w:rPr>
          <w:rFonts w:ascii="仿宋" w:hAnsi="仿宋" w:eastAsia="仿宋"/>
          <w:b/>
          <w:sz w:val="32"/>
          <w:szCs w:val="32"/>
        </w:rPr>
      </w:pPr>
      <w:r>
        <w:rPr>
          <w:rFonts w:ascii="仿宋" w:hAnsi="仿宋" w:eastAsia="仿宋" w:cs="仿宋"/>
          <w:szCs w:val="21"/>
        </w:rPr>
        <w:br w:type="page"/>
      </w:r>
      <w:r>
        <w:rPr>
          <w:rFonts w:hint="eastAsia" w:ascii="仿宋" w:hAnsi="仿宋" w:eastAsia="仿宋"/>
          <w:b/>
          <w:sz w:val="32"/>
          <w:szCs w:val="32"/>
        </w:rPr>
        <w:t>五、采购合同/协议</w:t>
      </w: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p>
    <w:p>
      <w:pPr>
        <w:spacing w:line="360" w:lineRule="auto"/>
        <w:jc w:val="center"/>
        <w:rPr>
          <w:b/>
          <w:sz w:val="44"/>
          <w:szCs w:val="44"/>
        </w:rPr>
      </w:pPr>
      <w:r>
        <w:rPr>
          <w:rFonts w:hint="eastAsia"/>
          <w:b/>
          <w:sz w:val="44"/>
          <w:szCs w:val="44"/>
        </w:rPr>
        <w:t>禧悦府项目</w:t>
      </w:r>
    </w:p>
    <w:p>
      <w:pPr>
        <w:spacing w:line="360" w:lineRule="auto"/>
        <w:jc w:val="center"/>
        <w:rPr>
          <w:b/>
          <w:sz w:val="44"/>
          <w:szCs w:val="44"/>
        </w:rPr>
      </w:pPr>
      <w:r>
        <w:rPr>
          <w:rFonts w:hint="eastAsia"/>
          <w:b/>
          <w:sz w:val="44"/>
          <w:szCs w:val="44"/>
          <w:lang w:eastAsia="zh-CN"/>
        </w:rPr>
        <w:t>停车场及导视围挡物料制作</w:t>
      </w:r>
      <w:r>
        <w:rPr>
          <w:rFonts w:hint="eastAsia"/>
          <w:b/>
          <w:sz w:val="44"/>
          <w:szCs w:val="44"/>
        </w:rPr>
        <w:t>服务合同</w:t>
      </w:r>
    </w:p>
    <w:p>
      <w:pPr>
        <w:spacing w:line="360" w:lineRule="auto"/>
        <w:jc w:val="center"/>
        <w:rPr>
          <w:b/>
          <w:sz w:val="44"/>
          <w:szCs w:val="44"/>
        </w:rPr>
      </w:pPr>
      <w:r>
        <w:rPr>
          <w:rFonts w:hint="eastAsia"/>
          <w:b/>
          <w:sz w:val="44"/>
          <w:szCs w:val="44"/>
        </w:rPr>
        <w:t>（范本）</w:t>
      </w:r>
    </w:p>
    <w:p>
      <w:pPr>
        <w:widowControl/>
        <w:ind w:firstLine="283" w:firstLineChars="64"/>
        <w:rPr>
          <w:rFonts w:ascii="仿宋" w:hAnsi="仿宋" w:eastAsia="仿宋"/>
          <w:b/>
          <w:sz w:val="28"/>
        </w:rPr>
      </w:pPr>
      <w:r>
        <w:rPr>
          <w:b/>
          <w:sz w:val="44"/>
          <w:szCs w:val="44"/>
        </w:rPr>
        <w:br w:type="page"/>
      </w:r>
      <w:r>
        <w:rPr>
          <w:rFonts w:hint="eastAsia" w:ascii="仿宋" w:hAnsi="仿宋" w:eastAsia="仿宋"/>
          <w:b/>
          <w:sz w:val="28"/>
        </w:rPr>
        <w:t>项目名称：禧悦府项目</w:t>
      </w:r>
      <w:r>
        <w:rPr>
          <w:rFonts w:hint="eastAsia" w:ascii="仿宋" w:hAnsi="仿宋" w:eastAsia="仿宋"/>
          <w:b/>
          <w:sz w:val="28"/>
          <w:lang w:eastAsia="zh-CN"/>
        </w:rPr>
        <w:t>停车场及导视围挡物料制作</w:t>
      </w:r>
      <w:r>
        <w:rPr>
          <w:rFonts w:hint="eastAsia" w:ascii="仿宋" w:hAnsi="仿宋" w:eastAsia="仿宋"/>
          <w:b/>
          <w:sz w:val="28"/>
        </w:rPr>
        <w:t>服务项目</w:t>
      </w:r>
    </w:p>
    <w:p>
      <w:pPr>
        <w:pStyle w:val="8"/>
        <w:rPr>
          <w:rFonts w:ascii="仿宋" w:hAnsi="仿宋" w:eastAsia="仿宋"/>
        </w:rPr>
      </w:pPr>
    </w:p>
    <w:p>
      <w:pPr>
        <w:pStyle w:val="8"/>
        <w:spacing w:before="1"/>
        <w:rPr>
          <w:rFonts w:ascii="仿宋" w:hAnsi="仿宋" w:eastAsia="仿宋"/>
        </w:rPr>
      </w:pPr>
    </w:p>
    <w:p>
      <w:pPr>
        <w:pStyle w:val="34"/>
        <w:spacing w:after="180"/>
        <w:ind w:firstLine="0"/>
        <w:rPr>
          <w:rFonts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lang w:eastAsia="zh-CN"/>
        </w:rPr>
        <w:t>广州市城壹房地产顾问有限公司</w:t>
      </w:r>
      <w:r>
        <w:rPr>
          <w:rFonts w:hint="eastAsia" w:ascii="仿宋" w:hAnsi="仿宋" w:eastAsia="仿宋" w:cs="仿宋"/>
          <w:sz w:val="28"/>
          <w:szCs w:val="28"/>
          <w:lang w:eastAsia="zh-CN"/>
        </w:rPr>
        <w:t>（</w:t>
      </w:r>
      <w:r>
        <w:rPr>
          <w:rFonts w:hint="eastAsia" w:ascii="仿宋" w:hAnsi="仿宋" w:eastAsia="仿宋" w:cs="仿宋"/>
          <w:sz w:val="28"/>
          <w:szCs w:val="28"/>
        </w:rPr>
        <w:t>以下简称</w:t>
      </w:r>
      <w:r>
        <w:rPr>
          <w:rFonts w:hint="eastAsia" w:ascii="仿宋" w:hAnsi="仿宋" w:eastAsia="仿宋" w:cs="仿宋"/>
          <w:sz w:val="28"/>
          <w:szCs w:val="28"/>
          <w:lang w:val="zh-CN" w:eastAsia="zh-CN" w:bidi="zh-CN"/>
        </w:rPr>
        <w:t>“甲方”</w:t>
      </w:r>
      <w:r>
        <w:rPr>
          <w:rFonts w:hint="eastAsia" w:ascii="仿宋" w:hAnsi="仿宋" w:eastAsia="仿宋" w:cs="仿宋"/>
          <w:sz w:val="28"/>
          <w:szCs w:val="28"/>
        </w:rPr>
        <w:t xml:space="preserve">） </w:t>
      </w:r>
    </w:p>
    <w:p>
      <w:pPr>
        <w:pStyle w:val="34"/>
        <w:ind w:firstLine="0"/>
        <w:jc w:val="left"/>
        <w:rPr>
          <w:rFonts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rPr>
        <w:t>（以下简称</w:t>
      </w:r>
      <w:r>
        <w:rPr>
          <w:rFonts w:hint="eastAsia" w:ascii="仿宋" w:hAnsi="仿宋" w:eastAsia="仿宋" w:cs="仿宋"/>
          <w:sz w:val="28"/>
          <w:szCs w:val="28"/>
          <w:lang w:val="zh-CN" w:eastAsia="zh-CN" w:bidi="zh-CN"/>
        </w:rPr>
        <w:t>“乙</w:t>
      </w:r>
      <w:r>
        <w:rPr>
          <w:rFonts w:hint="eastAsia" w:ascii="仿宋" w:hAnsi="仿宋" w:eastAsia="仿宋" w:cs="仿宋"/>
          <w:sz w:val="28"/>
          <w:szCs w:val="28"/>
        </w:rPr>
        <w:t>方”）</w:t>
      </w:r>
    </w:p>
    <w:p>
      <w:pPr>
        <w:pStyle w:val="34"/>
        <w:ind w:firstLine="0"/>
        <w:jc w:val="left"/>
        <w:rPr>
          <w:rFonts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根据《中华人民共和国民法典》及其他有关法规，就甲方向乙方             （以下简称“产品”）制作安装一事达成如下协议：</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第一条、  产品概况：</w:t>
      </w:r>
    </w:p>
    <w:p>
      <w:pPr>
        <w:rPr>
          <w:rFonts w:hint="eastAsia" w:ascii="仿宋" w:hAnsi="仿宋" w:eastAsia="仿宋" w:cs="仿宋"/>
          <w:sz w:val="28"/>
          <w:szCs w:val="28"/>
        </w:rPr>
      </w:pPr>
      <w:r>
        <w:rPr>
          <w:rFonts w:hint="eastAsia" w:ascii="仿宋" w:hAnsi="仿宋" w:eastAsia="仿宋" w:cs="仿宋"/>
          <w:sz w:val="28"/>
          <w:szCs w:val="28"/>
        </w:rPr>
        <w:t>1、甲方向乙方订购的产品名称、规格、材质说明、数量、单价、金额等详见附件《禧悦府项目停车场及导视围挡物料清单报价表》。</w:t>
      </w:r>
    </w:p>
    <w:p>
      <w:pPr>
        <w:rPr>
          <w:rFonts w:hint="eastAsia" w:ascii="仿宋" w:hAnsi="仿宋" w:eastAsia="仿宋" w:cs="仿宋"/>
          <w:sz w:val="28"/>
          <w:szCs w:val="28"/>
        </w:rPr>
      </w:pPr>
      <w:r>
        <w:rPr>
          <w:rFonts w:hint="eastAsia" w:ascii="仿宋" w:hAnsi="仿宋" w:eastAsia="仿宋" w:cs="仿宋"/>
          <w:sz w:val="28"/>
          <w:szCs w:val="28"/>
        </w:rPr>
        <w:t>2、本合同采用固定单价包干形式采购，本合同总价为人民币（大写）：万     仟    佰    拾    元整（￥          元），最终施工验收结算总价不得超过合同总价。</w:t>
      </w:r>
    </w:p>
    <w:p>
      <w:pPr>
        <w:rPr>
          <w:rFonts w:hint="eastAsia" w:ascii="仿宋" w:hAnsi="仿宋" w:eastAsia="仿宋" w:cs="仿宋"/>
          <w:sz w:val="28"/>
          <w:szCs w:val="28"/>
        </w:rPr>
      </w:pPr>
      <w:r>
        <w:rPr>
          <w:rFonts w:hint="eastAsia" w:ascii="仿宋" w:hAnsi="仿宋" w:eastAsia="仿宋" w:cs="仿宋"/>
          <w:sz w:val="28"/>
          <w:szCs w:val="28"/>
        </w:rPr>
        <w:t>3、该固定总价已包含设计费、材料费、人工费、产品制造费、运输费(产品到达甲方安装地点)、包装费、装卸车费、安装费、质保金、交货前仓储费、调试费、保险费、利润、税费、不可预见费等产品制造并在交货地点安装完成验收合格的全部费用，除此之外，甲方无需再向乙方另行支付任何其它费用。</w:t>
      </w:r>
    </w:p>
    <w:p>
      <w:pPr>
        <w:rPr>
          <w:rFonts w:hint="eastAsia" w:ascii="仿宋" w:hAnsi="仿宋" w:eastAsia="仿宋" w:cs="仿宋"/>
          <w:sz w:val="28"/>
          <w:szCs w:val="28"/>
        </w:rPr>
      </w:pPr>
      <w:r>
        <w:rPr>
          <w:rFonts w:hint="eastAsia" w:ascii="仿宋" w:hAnsi="仿宋" w:eastAsia="仿宋" w:cs="仿宋"/>
          <w:sz w:val="28"/>
          <w:szCs w:val="28"/>
        </w:rPr>
        <w:t>4、乙方在确定以上价格时已经充分考虑了本合同履行过程中的价格风险，因此，在本合同执行期间内，无论材料、运输等价格如何变化，本条约定的产品单价均不作任何调整，国家税率调整则按照不含税价不变作为基础调整总价。最终结算按照固定单价，据实验收结算。</w:t>
      </w:r>
    </w:p>
    <w:p>
      <w:pPr>
        <w:rPr>
          <w:rFonts w:hint="eastAsia" w:ascii="仿宋" w:hAnsi="仿宋" w:eastAsia="仿宋" w:cs="仿宋"/>
          <w:sz w:val="28"/>
          <w:szCs w:val="28"/>
        </w:rPr>
      </w:pPr>
      <w:r>
        <w:rPr>
          <w:rFonts w:hint="eastAsia" w:ascii="仿宋" w:hAnsi="仿宋" w:eastAsia="仿宋" w:cs="仿宋"/>
          <w:sz w:val="28"/>
          <w:szCs w:val="28"/>
        </w:rPr>
        <w:t>第二条、  产品质量标准（技术标准）：</w:t>
      </w:r>
    </w:p>
    <w:p>
      <w:pPr>
        <w:rPr>
          <w:rFonts w:hint="eastAsia" w:ascii="仿宋" w:hAnsi="仿宋" w:eastAsia="仿宋" w:cs="仿宋"/>
          <w:sz w:val="28"/>
          <w:szCs w:val="28"/>
        </w:rPr>
      </w:pPr>
      <w:r>
        <w:rPr>
          <w:rFonts w:hint="eastAsia" w:ascii="仿宋" w:hAnsi="仿宋" w:eastAsia="仿宋" w:cs="仿宋"/>
          <w:sz w:val="28"/>
          <w:szCs w:val="28"/>
        </w:rPr>
        <w:t>1、乙方提供之产品质量、各种技术要求必须符合国家有关部门规范、行业标准要求。</w:t>
      </w:r>
    </w:p>
    <w:p>
      <w:pPr>
        <w:rPr>
          <w:rFonts w:hint="eastAsia" w:ascii="仿宋" w:hAnsi="仿宋" w:eastAsia="仿宋" w:cs="仿宋"/>
          <w:sz w:val="28"/>
          <w:szCs w:val="28"/>
        </w:rPr>
      </w:pPr>
      <w:r>
        <w:rPr>
          <w:rFonts w:hint="eastAsia" w:ascii="仿宋" w:hAnsi="仿宋" w:eastAsia="仿宋" w:cs="仿宋"/>
          <w:sz w:val="28"/>
          <w:szCs w:val="28"/>
        </w:rPr>
        <w:t>2、乙方向甲方提供本合同所列的产品必须与本合同附件的要求相符，并与甲方确认的样板一致。</w:t>
      </w:r>
    </w:p>
    <w:p>
      <w:pPr>
        <w:rPr>
          <w:rFonts w:hint="eastAsia" w:ascii="仿宋" w:hAnsi="仿宋" w:eastAsia="仿宋" w:cs="仿宋"/>
          <w:sz w:val="28"/>
          <w:szCs w:val="28"/>
        </w:rPr>
      </w:pPr>
      <w:r>
        <w:rPr>
          <w:rFonts w:hint="eastAsia" w:ascii="仿宋" w:hAnsi="仿宋" w:eastAsia="仿宋" w:cs="仿宋"/>
          <w:sz w:val="28"/>
          <w:szCs w:val="28"/>
        </w:rPr>
        <w:t>3、乙方提供完整无损的、未曾作任何用途使用的全新产品。</w:t>
      </w:r>
    </w:p>
    <w:p>
      <w:pPr>
        <w:rPr>
          <w:rFonts w:hint="eastAsia" w:ascii="仿宋" w:hAnsi="仿宋" w:eastAsia="仿宋" w:cs="仿宋"/>
          <w:sz w:val="28"/>
          <w:szCs w:val="28"/>
        </w:rPr>
      </w:pPr>
      <w:r>
        <w:rPr>
          <w:rFonts w:hint="eastAsia" w:ascii="仿宋" w:hAnsi="仿宋" w:eastAsia="仿宋" w:cs="仿宋"/>
          <w:sz w:val="28"/>
          <w:szCs w:val="28"/>
        </w:rPr>
        <w:t>第三条、  交货地点及时间</w:t>
      </w:r>
    </w:p>
    <w:p>
      <w:pPr>
        <w:rPr>
          <w:rFonts w:hint="eastAsia" w:ascii="仿宋" w:hAnsi="仿宋" w:eastAsia="仿宋" w:cs="仿宋"/>
          <w:sz w:val="28"/>
          <w:szCs w:val="28"/>
        </w:rPr>
      </w:pPr>
      <w:r>
        <w:rPr>
          <w:rFonts w:hint="eastAsia" w:ascii="仿宋" w:hAnsi="仿宋" w:eastAsia="仿宋" w:cs="仿宋"/>
          <w:sz w:val="28"/>
          <w:szCs w:val="28"/>
        </w:rPr>
        <w:t>1、交货地点：</w:t>
      </w:r>
      <w:r>
        <w:rPr>
          <w:rFonts w:hint="eastAsia" w:ascii="仿宋" w:hAnsi="仿宋" w:eastAsia="仿宋" w:cs="仿宋"/>
          <w:sz w:val="28"/>
          <w:szCs w:val="28"/>
          <w:lang w:val="en-US" w:eastAsia="zh-CN"/>
        </w:rPr>
        <w:t>广州城投禧悦府</w:t>
      </w:r>
      <w:r>
        <w:rPr>
          <w:rFonts w:hint="eastAsia" w:ascii="仿宋" w:hAnsi="仿宋" w:eastAsia="仿宋" w:cs="仿宋"/>
          <w:sz w:val="28"/>
          <w:szCs w:val="28"/>
        </w:rPr>
        <w:t>销售中心 ，甲方指定位置。</w:t>
      </w:r>
    </w:p>
    <w:p>
      <w:pPr>
        <w:rPr>
          <w:rFonts w:hint="eastAsia" w:ascii="仿宋" w:hAnsi="仿宋" w:eastAsia="仿宋" w:cs="仿宋"/>
          <w:sz w:val="28"/>
          <w:szCs w:val="28"/>
        </w:rPr>
      </w:pPr>
      <w:r>
        <w:rPr>
          <w:rFonts w:hint="eastAsia" w:ascii="仿宋" w:hAnsi="仿宋" w:eastAsia="仿宋" w:cs="仿宋"/>
          <w:sz w:val="28"/>
          <w:szCs w:val="28"/>
        </w:rPr>
        <w:t>2、本合同项下产品乙方应在接到甲方通知之日起计10天内送货到现场安装完毕并经甲方验收合格。</w:t>
      </w:r>
    </w:p>
    <w:p>
      <w:pPr>
        <w:rPr>
          <w:rFonts w:hint="eastAsia" w:ascii="仿宋" w:hAnsi="仿宋" w:eastAsia="仿宋" w:cs="仿宋"/>
          <w:sz w:val="28"/>
          <w:szCs w:val="28"/>
        </w:rPr>
      </w:pPr>
      <w:r>
        <w:rPr>
          <w:rFonts w:hint="eastAsia" w:ascii="仿宋" w:hAnsi="仿宋" w:eastAsia="仿宋" w:cs="仿宋"/>
          <w:sz w:val="28"/>
          <w:szCs w:val="28"/>
        </w:rPr>
        <w:t>第四条、  运输方式和费用负担：</w:t>
      </w:r>
    </w:p>
    <w:p>
      <w:pPr>
        <w:rPr>
          <w:rFonts w:hint="eastAsia" w:ascii="仿宋" w:hAnsi="仿宋" w:eastAsia="仿宋" w:cs="仿宋"/>
          <w:sz w:val="28"/>
          <w:szCs w:val="28"/>
        </w:rPr>
      </w:pPr>
      <w:r>
        <w:rPr>
          <w:rFonts w:hint="eastAsia" w:ascii="仿宋" w:hAnsi="仿宋" w:eastAsia="仿宋" w:cs="仿宋"/>
          <w:sz w:val="28"/>
          <w:szCs w:val="28"/>
        </w:rPr>
        <w:t>1、乙方负责办理产品的运输并负责按本合同约定或甲方的书面通知确定的供货日期将产品运至甲方指定的产品施工现场并负责卸车，所涉各项运输费、装车费、卸车费、转运费（含垂直运输，如上楼或入地下室）等均由乙方承担。</w:t>
      </w:r>
    </w:p>
    <w:p>
      <w:pPr>
        <w:rPr>
          <w:rFonts w:hint="eastAsia" w:ascii="仿宋" w:hAnsi="仿宋" w:eastAsia="仿宋" w:cs="仿宋"/>
          <w:sz w:val="28"/>
          <w:szCs w:val="28"/>
        </w:rPr>
      </w:pPr>
      <w:r>
        <w:rPr>
          <w:rFonts w:hint="eastAsia" w:ascii="仿宋" w:hAnsi="仿宋" w:eastAsia="仿宋" w:cs="仿宋"/>
          <w:sz w:val="28"/>
          <w:szCs w:val="28"/>
        </w:rPr>
        <w:t>2、产品的运输方式由乙方按照产品的性能、规格等条件要求自行决定,但应当采取有利于保护产品且不影响供货日期的方式进行运输。</w:t>
      </w:r>
    </w:p>
    <w:p>
      <w:pPr>
        <w:rPr>
          <w:rFonts w:hint="eastAsia" w:ascii="仿宋" w:hAnsi="仿宋" w:eastAsia="仿宋" w:cs="仿宋"/>
          <w:sz w:val="28"/>
          <w:szCs w:val="28"/>
        </w:rPr>
      </w:pPr>
      <w:r>
        <w:rPr>
          <w:rFonts w:hint="eastAsia" w:ascii="仿宋" w:hAnsi="仿宋" w:eastAsia="仿宋" w:cs="仿宋"/>
          <w:sz w:val="28"/>
          <w:szCs w:val="28"/>
        </w:rPr>
        <w:t>3、乙方在送货过程中对可能引起的路桥加固、损毁后修复、人员伤亡等承担一切责任。运输车辆改装时增加的费用由乙方自行承担。</w:t>
      </w:r>
    </w:p>
    <w:p>
      <w:pPr>
        <w:rPr>
          <w:rFonts w:hint="eastAsia" w:ascii="仿宋" w:hAnsi="仿宋" w:eastAsia="仿宋" w:cs="仿宋"/>
          <w:sz w:val="28"/>
          <w:szCs w:val="28"/>
        </w:rPr>
      </w:pPr>
      <w:r>
        <w:rPr>
          <w:rFonts w:hint="eastAsia" w:ascii="仿宋" w:hAnsi="仿宋" w:eastAsia="仿宋" w:cs="仿宋"/>
          <w:sz w:val="28"/>
          <w:szCs w:val="28"/>
        </w:rPr>
        <w:t>4、乙方在送货过程中因公安、交警、城管等执法部门规定白天不准行车或晚上城市主干道不准行车而带来的不便由乙方自行协调，乙方不能要求追加任何费用，更不能据此延误工期。</w:t>
      </w:r>
    </w:p>
    <w:p>
      <w:pPr>
        <w:rPr>
          <w:rFonts w:hint="eastAsia" w:ascii="仿宋" w:hAnsi="仿宋" w:eastAsia="仿宋" w:cs="仿宋"/>
          <w:sz w:val="28"/>
          <w:szCs w:val="28"/>
        </w:rPr>
      </w:pPr>
      <w:r>
        <w:rPr>
          <w:rFonts w:hint="eastAsia" w:ascii="仿宋" w:hAnsi="仿宋" w:eastAsia="仿宋" w:cs="仿宋"/>
          <w:sz w:val="28"/>
          <w:szCs w:val="28"/>
        </w:rPr>
        <w:t>5、乙方在产品装卸、运输过程中因违反法律、法规而遭受的行政处罚或造成任何的人身伤害、财产损失与甲方无关，由乙方负责处理并负法律责任。</w:t>
      </w:r>
    </w:p>
    <w:p>
      <w:pPr>
        <w:rPr>
          <w:rFonts w:hint="eastAsia" w:ascii="仿宋" w:hAnsi="仿宋" w:eastAsia="仿宋" w:cs="仿宋"/>
          <w:sz w:val="28"/>
          <w:szCs w:val="28"/>
        </w:rPr>
      </w:pPr>
      <w:r>
        <w:rPr>
          <w:rFonts w:hint="eastAsia" w:ascii="仿宋" w:hAnsi="仿宋" w:eastAsia="仿宋" w:cs="仿宋"/>
          <w:sz w:val="28"/>
          <w:szCs w:val="28"/>
        </w:rPr>
        <w:t>第五条、  产品风险承担</w:t>
      </w:r>
    </w:p>
    <w:p>
      <w:pPr>
        <w:rPr>
          <w:rFonts w:hint="eastAsia" w:ascii="仿宋" w:hAnsi="仿宋" w:eastAsia="仿宋" w:cs="仿宋"/>
          <w:sz w:val="28"/>
          <w:szCs w:val="28"/>
        </w:rPr>
      </w:pPr>
      <w:r>
        <w:rPr>
          <w:rFonts w:hint="eastAsia" w:ascii="仿宋" w:hAnsi="仿宋" w:eastAsia="仿宋" w:cs="仿宋"/>
          <w:sz w:val="28"/>
          <w:szCs w:val="28"/>
        </w:rPr>
        <w:t>1、本合同项下产品毁损、灭失的风险自双方办理产品移交手续后由甲方承担。在此之前本合同项下产品毁损、灭失的风险由乙方负责承担。</w:t>
      </w:r>
    </w:p>
    <w:p>
      <w:pPr>
        <w:rPr>
          <w:rFonts w:hint="eastAsia" w:ascii="仿宋" w:hAnsi="仿宋" w:eastAsia="仿宋" w:cs="仿宋"/>
          <w:sz w:val="28"/>
          <w:szCs w:val="28"/>
        </w:rPr>
      </w:pPr>
      <w:r>
        <w:rPr>
          <w:rFonts w:hint="eastAsia" w:ascii="仿宋" w:hAnsi="仿宋" w:eastAsia="仿宋" w:cs="仿宋"/>
          <w:sz w:val="28"/>
          <w:szCs w:val="28"/>
        </w:rPr>
        <w:t>2、产品损坏、灭失风险转移给甲方后，并不能免除乙方按本合同约定所应承担的产品质量责任以及保修、维护的义务。</w:t>
      </w:r>
    </w:p>
    <w:p>
      <w:pPr>
        <w:rPr>
          <w:rFonts w:hint="eastAsia" w:ascii="仿宋" w:hAnsi="仿宋" w:eastAsia="仿宋" w:cs="仿宋"/>
          <w:sz w:val="28"/>
          <w:szCs w:val="28"/>
        </w:rPr>
      </w:pPr>
      <w:r>
        <w:rPr>
          <w:rFonts w:hint="eastAsia" w:ascii="仿宋" w:hAnsi="仿宋" w:eastAsia="仿宋" w:cs="仿宋"/>
          <w:sz w:val="28"/>
          <w:szCs w:val="28"/>
        </w:rPr>
        <w:t>3、所有权和风险的转移，不影响因乙方不按本合同约定履行义务时，甲方要求其承担违约责任的权利。</w:t>
      </w:r>
    </w:p>
    <w:p>
      <w:pPr>
        <w:rPr>
          <w:rFonts w:hint="eastAsia" w:ascii="仿宋" w:hAnsi="仿宋" w:eastAsia="仿宋" w:cs="仿宋"/>
          <w:sz w:val="28"/>
          <w:szCs w:val="28"/>
        </w:rPr>
      </w:pPr>
      <w:r>
        <w:rPr>
          <w:rFonts w:hint="eastAsia" w:ascii="仿宋" w:hAnsi="仿宋" w:eastAsia="仿宋" w:cs="仿宋"/>
          <w:sz w:val="28"/>
          <w:szCs w:val="28"/>
        </w:rPr>
        <w:t>第六条、  包装标准、包装物的供应与回收和费用负担：</w:t>
      </w:r>
    </w:p>
    <w:p>
      <w:pPr>
        <w:rPr>
          <w:rFonts w:hint="eastAsia" w:ascii="仿宋" w:hAnsi="仿宋" w:eastAsia="仿宋" w:cs="仿宋"/>
          <w:sz w:val="28"/>
          <w:szCs w:val="28"/>
        </w:rPr>
      </w:pPr>
      <w:r>
        <w:rPr>
          <w:rFonts w:hint="eastAsia" w:ascii="仿宋" w:hAnsi="仿宋" w:eastAsia="仿宋" w:cs="仿宋"/>
          <w:sz w:val="28"/>
          <w:szCs w:val="28"/>
        </w:rPr>
        <w:t>1、包装标准：乙方须采用能足以保护本合同项下所有产品的包装方式进行包装。如因乙方的包装有缺陷导致产品发生损坏的，其责任由乙方承担。</w:t>
      </w:r>
    </w:p>
    <w:p>
      <w:pPr>
        <w:rPr>
          <w:rFonts w:hint="eastAsia" w:ascii="仿宋" w:hAnsi="仿宋" w:eastAsia="仿宋" w:cs="仿宋"/>
          <w:sz w:val="28"/>
          <w:szCs w:val="28"/>
        </w:rPr>
      </w:pPr>
      <w:r>
        <w:rPr>
          <w:rFonts w:hint="eastAsia" w:ascii="仿宋" w:hAnsi="仿宋" w:eastAsia="仿宋" w:cs="仿宋"/>
          <w:sz w:val="28"/>
          <w:szCs w:val="28"/>
        </w:rPr>
        <w:t>2、包装物由乙方供应。</w:t>
      </w:r>
    </w:p>
    <w:p>
      <w:pPr>
        <w:rPr>
          <w:rFonts w:hint="eastAsia" w:ascii="仿宋" w:hAnsi="仿宋" w:eastAsia="仿宋" w:cs="仿宋"/>
          <w:sz w:val="28"/>
          <w:szCs w:val="28"/>
        </w:rPr>
      </w:pPr>
      <w:r>
        <w:rPr>
          <w:rFonts w:hint="eastAsia" w:ascii="仿宋" w:hAnsi="仿宋" w:eastAsia="仿宋" w:cs="仿宋"/>
          <w:sz w:val="28"/>
          <w:szCs w:val="28"/>
        </w:rPr>
        <w:t>3、包装物的供应费由乙方承担。</w:t>
      </w:r>
    </w:p>
    <w:p>
      <w:pPr>
        <w:rPr>
          <w:rFonts w:hint="eastAsia" w:ascii="仿宋" w:hAnsi="仿宋" w:eastAsia="仿宋" w:cs="仿宋"/>
          <w:sz w:val="28"/>
          <w:szCs w:val="28"/>
        </w:rPr>
      </w:pPr>
      <w:r>
        <w:rPr>
          <w:rFonts w:hint="eastAsia" w:ascii="仿宋" w:hAnsi="仿宋" w:eastAsia="仿宋" w:cs="仿宋"/>
          <w:sz w:val="28"/>
          <w:szCs w:val="28"/>
        </w:rPr>
        <w:t>4、乙方完成包装时，需将施工过程产生的垃圾清理完毕并将受影响的场地恢复原状。</w:t>
      </w:r>
    </w:p>
    <w:p>
      <w:pPr>
        <w:rPr>
          <w:rFonts w:hint="eastAsia" w:ascii="仿宋" w:hAnsi="仿宋" w:eastAsia="仿宋" w:cs="仿宋"/>
          <w:sz w:val="28"/>
          <w:szCs w:val="28"/>
        </w:rPr>
      </w:pPr>
      <w:r>
        <w:rPr>
          <w:rFonts w:hint="eastAsia" w:ascii="仿宋" w:hAnsi="仿宋" w:eastAsia="仿宋" w:cs="仿宋"/>
          <w:sz w:val="28"/>
          <w:szCs w:val="28"/>
        </w:rPr>
        <w:t>第七条、  产品检验</w:t>
      </w:r>
    </w:p>
    <w:p>
      <w:pPr>
        <w:rPr>
          <w:rFonts w:hint="eastAsia" w:ascii="仿宋" w:hAnsi="仿宋" w:eastAsia="仿宋" w:cs="仿宋"/>
          <w:sz w:val="28"/>
          <w:szCs w:val="28"/>
        </w:rPr>
      </w:pPr>
      <w:r>
        <w:rPr>
          <w:rFonts w:hint="eastAsia" w:ascii="仿宋" w:hAnsi="仿宋" w:eastAsia="仿宋" w:cs="仿宋"/>
          <w:sz w:val="28"/>
          <w:szCs w:val="28"/>
        </w:rPr>
        <w:t>1、验收标准：按本合同第一条、第二条约定的标准进行验收。</w:t>
      </w:r>
    </w:p>
    <w:p>
      <w:pPr>
        <w:rPr>
          <w:rFonts w:hint="eastAsia" w:ascii="仿宋" w:hAnsi="仿宋" w:eastAsia="仿宋" w:cs="仿宋"/>
          <w:sz w:val="28"/>
          <w:szCs w:val="28"/>
        </w:rPr>
      </w:pPr>
      <w:r>
        <w:rPr>
          <w:rFonts w:hint="eastAsia" w:ascii="仿宋" w:hAnsi="仿宋" w:eastAsia="仿宋" w:cs="仿宋"/>
          <w:sz w:val="28"/>
          <w:szCs w:val="28"/>
        </w:rPr>
        <w:t>2、乙方货到工地应提前1天，以书面形式通知甲方。</w:t>
      </w:r>
    </w:p>
    <w:p>
      <w:pPr>
        <w:rPr>
          <w:rFonts w:hint="eastAsia" w:ascii="仿宋" w:hAnsi="仿宋" w:eastAsia="仿宋" w:cs="仿宋"/>
          <w:sz w:val="28"/>
          <w:szCs w:val="28"/>
        </w:rPr>
      </w:pPr>
      <w:r>
        <w:rPr>
          <w:rFonts w:hint="eastAsia" w:ascii="仿宋" w:hAnsi="仿宋" w:eastAsia="仿宋" w:cs="仿宋"/>
          <w:sz w:val="28"/>
          <w:szCs w:val="28"/>
        </w:rPr>
        <w:t>3、如甲方发现产品不符合本合同约定的，有权提出书面异议。乙方应在收到甲方书面异议之日起二个工作日内提出合理的处理意见或采取适当的措施。乙方的处理意见或措施应具体说明整改期限，经甲方确认后，乙方应在甲方确认的整改期限内无条件进行返工、修复或重新提供合格的产品，并将有质量问题的产品搬离现场，因此产生的费用由乙方自行承担。</w:t>
      </w:r>
    </w:p>
    <w:p>
      <w:pPr>
        <w:rPr>
          <w:rFonts w:hint="eastAsia" w:ascii="仿宋" w:hAnsi="仿宋" w:eastAsia="仿宋" w:cs="仿宋"/>
          <w:sz w:val="28"/>
          <w:szCs w:val="28"/>
        </w:rPr>
      </w:pPr>
      <w:r>
        <w:rPr>
          <w:rFonts w:hint="eastAsia" w:ascii="仿宋" w:hAnsi="仿宋" w:eastAsia="仿宋" w:cs="仿宋"/>
          <w:sz w:val="28"/>
          <w:szCs w:val="28"/>
        </w:rPr>
        <w:t>4、甲方验收合格并不免除乙方对所供应产品的质量保证责任。</w:t>
      </w:r>
    </w:p>
    <w:p>
      <w:pPr>
        <w:rPr>
          <w:rFonts w:hint="eastAsia" w:ascii="仿宋" w:hAnsi="仿宋" w:eastAsia="仿宋" w:cs="仿宋"/>
          <w:sz w:val="28"/>
          <w:szCs w:val="28"/>
        </w:rPr>
      </w:pPr>
      <w:r>
        <w:rPr>
          <w:rFonts w:hint="eastAsia" w:ascii="仿宋" w:hAnsi="仿宋" w:eastAsia="仿宋" w:cs="仿宋"/>
          <w:sz w:val="28"/>
          <w:szCs w:val="28"/>
        </w:rPr>
        <w:t>第八条、　合同价格款及支付方式</w:t>
      </w:r>
    </w:p>
    <w:p>
      <w:pPr>
        <w:rPr>
          <w:rFonts w:hint="eastAsia" w:ascii="仿宋" w:hAnsi="仿宋" w:eastAsia="仿宋" w:cs="仿宋"/>
          <w:sz w:val="28"/>
          <w:szCs w:val="28"/>
        </w:rPr>
      </w:pPr>
      <w:r>
        <w:rPr>
          <w:rFonts w:hint="eastAsia" w:ascii="仿宋" w:hAnsi="仿宋" w:eastAsia="仿宋" w:cs="仿宋"/>
          <w:sz w:val="28"/>
          <w:szCs w:val="28"/>
        </w:rPr>
        <w:t xml:space="preserve">合同总价：¥            元（大写    万   仟   佰   拾   元整 ）。税率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%，其中不含税总价为 ¥           元，税额为 ¥        元。合同中不含税价不因国家税收政策变化而变化。若在合同履行期间，遇国家税收政策调整，则增值税税金作相应调整。</w:t>
      </w:r>
    </w:p>
    <w:p>
      <w:pPr>
        <w:rPr>
          <w:rFonts w:hint="eastAsia" w:ascii="仿宋" w:hAnsi="仿宋" w:eastAsia="仿宋" w:cs="仿宋"/>
          <w:sz w:val="28"/>
          <w:szCs w:val="28"/>
        </w:rPr>
      </w:pPr>
      <w:r>
        <w:rPr>
          <w:rFonts w:hint="eastAsia" w:ascii="仿宋" w:hAnsi="仿宋" w:eastAsia="仿宋" w:cs="仿宋"/>
          <w:sz w:val="28"/>
          <w:szCs w:val="28"/>
        </w:rPr>
        <w:t>1、合同签后后，甲方自收到乙方合格有效的增值税专用发票15个工作日内，甲方支付本合同总价的50%，即¥           元。</w:t>
      </w:r>
    </w:p>
    <w:p>
      <w:pPr>
        <w:rPr>
          <w:rFonts w:hint="eastAsia" w:ascii="仿宋" w:hAnsi="仿宋" w:eastAsia="仿宋" w:cs="仿宋"/>
          <w:sz w:val="28"/>
          <w:szCs w:val="28"/>
        </w:rPr>
      </w:pPr>
      <w:r>
        <w:rPr>
          <w:rFonts w:hint="eastAsia" w:ascii="仿宋" w:hAnsi="仿宋" w:eastAsia="仿宋" w:cs="仿宋"/>
          <w:sz w:val="28"/>
          <w:szCs w:val="28"/>
        </w:rPr>
        <w:t>2、本合同项下产品全部安装完成并经甲方验收合格，甲方自收到乙方合格有效的增值税专用发票30个工作日内，向乙方支付合同总价的45%，即¥         元。</w:t>
      </w:r>
    </w:p>
    <w:p>
      <w:pPr>
        <w:rPr>
          <w:rFonts w:hint="eastAsia" w:ascii="仿宋" w:hAnsi="仿宋" w:eastAsia="仿宋" w:cs="仿宋"/>
          <w:sz w:val="28"/>
          <w:szCs w:val="28"/>
        </w:rPr>
      </w:pPr>
      <w:r>
        <w:rPr>
          <w:rFonts w:hint="eastAsia" w:ascii="仿宋" w:hAnsi="仿宋" w:eastAsia="仿宋" w:cs="仿宋"/>
          <w:sz w:val="28"/>
          <w:szCs w:val="28"/>
        </w:rPr>
        <w:t>3、合同总价的5%，即¥             元作为质量保修金，保修金利率为零，保修期为壹年，保修期满后甲方在扣除应由乙方承担的保修费用后15个工作日内付清。</w:t>
      </w:r>
    </w:p>
    <w:p>
      <w:pPr>
        <w:rPr>
          <w:rFonts w:hint="eastAsia" w:ascii="仿宋" w:hAnsi="仿宋" w:eastAsia="仿宋" w:cs="仿宋"/>
          <w:sz w:val="28"/>
          <w:szCs w:val="28"/>
        </w:rPr>
      </w:pPr>
      <w:r>
        <w:rPr>
          <w:rFonts w:hint="eastAsia" w:ascii="仿宋" w:hAnsi="仿宋" w:eastAsia="仿宋" w:cs="仿宋"/>
          <w:sz w:val="28"/>
          <w:szCs w:val="28"/>
        </w:rPr>
        <w:t>4、本合同所有款项均由甲方直接支付给乙方，乙方每收取甲方一笔款项，须同时按甲方的通知向甲方提供同等金额的有效增值税专用发票。否则，甲方有权拒绝支付该项价款，直至乙方出具发票为止。</w:t>
      </w:r>
    </w:p>
    <w:p>
      <w:pPr>
        <w:rPr>
          <w:rFonts w:hint="eastAsia" w:ascii="仿宋" w:hAnsi="仿宋" w:eastAsia="仿宋" w:cs="仿宋"/>
          <w:sz w:val="28"/>
          <w:szCs w:val="28"/>
        </w:rPr>
      </w:pPr>
      <w:r>
        <w:rPr>
          <w:rFonts w:hint="eastAsia" w:ascii="仿宋" w:hAnsi="仿宋" w:eastAsia="仿宋" w:cs="仿宋"/>
          <w:sz w:val="28"/>
          <w:szCs w:val="28"/>
        </w:rPr>
        <w:t>乙方收款帐号：</w:t>
      </w:r>
    </w:p>
    <w:p>
      <w:pPr>
        <w:rPr>
          <w:rFonts w:hint="eastAsia" w:ascii="仿宋" w:hAnsi="仿宋" w:eastAsia="仿宋" w:cs="仿宋"/>
          <w:sz w:val="28"/>
          <w:szCs w:val="28"/>
        </w:rPr>
      </w:pPr>
      <w:r>
        <w:rPr>
          <w:rFonts w:hint="eastAsia" w:ascii="仿宋" w:hAnsi="仿宋" w:eastAsia="仿宋" w:cs="仿宋"/>
          <w:sz w:val="28"/>
          <w:szCs w:val="28"/>
        </w:rPr>
        <w:t xml:space="preserve">开户银行： </w:t>
      </w:r>
    </w:p>
    <w:p>
      <w:pPr>
        <w:rPr>
          <w:rFonts w:hint="eastAsia" w:ascii="仿宋" w:hAnsi="仿宋" w:eastAsia="仿宋" w:cs="仿宋"/>
          <w:sz w:val="28"/>
          <w:szCs w:val="28"/>
        </w:rPr>
      </w:pPr>
      <w:r>
        <w:rPr>
          <w:rFonts w:hint="eastAsia" w:ascii="仿宋" w:hAnsi="仿宋" w:eastAsia="仿宋" w:cs="仿宋"/>
          <w:sz w:val="28"/>
          <w:szCs w:val="28"/>
        </w:rPr>
        <w:t>开户名称：</w:t>
      </w:r>
    </w:p>
    <w:p>
      <w:pPr>
        <w:rPr>
          <w:rFonts w:hint="eastAsia" w:ascii="仿宋" w:hAnsi="仿宋" w:eastAsia="仿宋" w:cs="仿宋"/>
          <w:sz w:val="28"/>
          <w:szCs w:val="28"/>
        </w:rPr>
      </w:pPr>
      <w:r>
        <w:rPr>
          <w:rFonts w:hint="eastAsia" w:ascii="仿宋" w:hAnsi="仿宋" w:eastAsia="仿宋" w:cs="仿宋"/>
          <w:sz w:val="28"/>
          <w:szCs w:val="28"/>
        </w:rPr>
        <w:t>银行账号：</w:t>
      </w:r>
    </w:p>
    <w:p>
      <w:pPr>
        <w:rPr>
          <w:rFonts w:hint="eastAsia" w:ascii="仿宋" w:hAnsi="仿宋" w:eastAsia="仿宋" w:cs="仿宋"/>
          <w:sz w:val="28"/>
          <w:szCs w:val="28"/>
        </w:rPr>
      </w:pPr>
      <w:r>
        <w:rPr>
          <w:rFonts w:hint="eastAsia" w:ascii="仿宋" w:hAnsi="仿宋" w:eastAsia="仿宋" w:cs="仿宋"/>
          <w:sz w:val="28"/>
          <w:szCs w:val="28"/>
        </w:rPr>
        <w:t>第九条、　安装施工</w:t>
      </w:r>
    </w:p>
    <w:p>
      <w:pPr>
        <w:rPr>
          <w:rFonts w:hint="eastAsia" w:ascii="仿宋" w:hAnsi="仿宋" w:eastAsia="仿宋" w:cs="仿宋"/>
          <w:sz w:val="28"/>
          <w:szCs w:val="28"/>
        </w:rPr>
      </w:pPr>
      <w:r>
        <w:rPr>
          <w:rFonts w:hint="eastAsia" w:ascii="仿宋" w:hAnsi="仿宋" w:eastAsia="仿宋" w:cs="仿宋"/>
          <w:sz w:val="28"/>
          <w:szCs w:val="28"/>
        </w:rPr>
        <w:t>1、乙方负责所有产品的安装调试工作，所涉费用由乙方承担。</w:t>
      </w:r>
    </w:p>
    <w:p>
      <w:pPr>
        <w:rPr>
          <w:rFonts w:hint="eastAsia" w:ascii="仿宋" w:hAnsi="仿宋" w:eastAsia="仿宋" w:cs="仿宋"/>
          <w:sz w:val="28"/>
          <w:szCs w:val="28"/>
        </w:rPr>
      </w:pPr>
      <w:r>
        <w:rPr>
          <w:rFonts w:hint="eastAsia" w:ascii="仿宋" w:hAnsi="仿宋" w:eastAsia="仿宋" w:cs="仿宋"/>
          <w:sz w:val="28"/>
          <w:szCs w:val="28"/>
        </w:rPr>
        <w:t>2、乙方应当按照甲方的要求保质保量按期完成产品的安装工作，并按甲方要求的时间将调试合格的产品移交甲方，所涉费用已包含在合同总价中。</w:t>
      </w:r>
    </w:p>
    <w:p>
      <w:pPr>
        <w:rPr>
          <w:rFonts w:hint="eastAsia" w:ascii="仿宋" w:hAnsi="仿宋" w:eastAsia="仿宋" w:cs="仿宋"/>
          <w:sz w:val="28"/>
          <w:szCs w:val="28"/>
        </w:rPr>
      </w:pPr>
      <w:r>
        <w:rPr>
          <w:rFonts w:hint="eastAsia" w:ascii="仿宋" w:hAnsi="仿宋" w:eastAsia="仿宋" w:cs="仿宋"/>
          <w:sz w:val="28"/>
          <w:szCs w:val="28"/>
        </w:rPr>
        <w:t>3、乙方应当根据甲方要求的安装数量及进度安排足够数量的安装人员进场施工。</w:t>
      </w:r>
    </w:p>
    <w:p>
      <w:pPr>
        <w:rPr>
          <w:rFonts w:hint="eastAsia" w:ascii="仿宋" w:hAnsi="仿宋" w:eastAsia="仿宋" w:cs="仿宋"/>
          <w:sz w:val="28"/>
          <w:szCs w:val="28"/>
        </w:rPr>
      </w:pPr>
      <w:r>
        <w:rPr>
          <w:rFonts w:hint="eastAsia" w:ascii="仿宋" w:hAnsi="仿宋" w:eastAsia="仿宋" w:cs="仿宋"/>
          <w:sz w:val="28"/>
          <w:szCs w:val="28"/>
        </w:rPr>
        <w:t>4、乙方根据甲方的交楼要求制订供货计划和安装计划，报甲方批准后执行。</w:t>
      </w:r>
    </w:p>
    <w:p>
      <w:pPr>
        <w:rPr>
          <w:rFonts w:hint="eastAsia" w:ascii="仿宋" w:hAnsi="仿宋" w:eastAsia="仿宋" w:cs="仿宋"/>
          <w:sz w:val="28"/>
          <w:szCs w:val="28"/>
        </w:rPr>
      </w:pPr>
      <w:r>
        <w:rPr>
          <w:rFonts w:hint="eastAsia" w:ascii="仿宋" w:hAnsi="仿宋" w:eastAsia="仿宋" w:cs="仿宋"/>
          <w:sz w:val="28"/>
          <w:szCs w:val="28"/>
        </w:rPr>
        <w:t>5、安装所需的所有材料其型号、规格、厂家均应由甲方确认，否则不得用于本项安装。</w:t>
      </w:r>
    </w:p>
    <w:p>
      <w:pPr>
        <w:rPr>
          <w:rFonts w:hint="eastAsia" w:ascii="仿宋" w:hAnsi="仿宋" w:eastAsia="仿宋" w:cs="仿宋"/>
          <w:sz w:val="28"/>
          <w:szCs w:val="28"/>
        </w:rPr>
      </w:pPr>
      <w:r>
        <w:rPr>
          <w:rFonts w:hint="eastAsia" w:ascii="仿宋" w:hAnsi="仿宋" w:eastAsia="仿宋" w:cs="仿宋"/>
          <w:sz w:val="28"/>
          <w:szCs w:val="28"/>
        </w:rPr>
        <w:t>6、乙方负责产品的保管直至验收合格移交甲方为止。乙方的产品一经运至甲方施工现场即视为是专门供本工程施工所用，乙方除将上述物品从现场某一部位移至另一部位之外，未经工程师及甲方同意，不得将上述物品或其中任一部份移出现场。</w:t>
      </w:r>
    </w:p>
    <w:p>
      <w:pPr>
        <w:rPr>
          <w:rFonts w:hint="eastAsia" w:ascii="仿宋" w:hAnsi="仿宋" w:eastAsia="仿宋" w:cs="仿宋"/>
          <w:sz w:val="28"/>
          <w:szCs w:val="28"/>
        </w:rPr>
      </w:pPr>
      <w:r>
        <w:rPr>
          <w:rFonts w:hint="eastAsia" w:ascii="仿宋" w:hAnsi="仿宋" w:eastAsia="仿宋" w:cs="仿宋"/>
          <w:sz w:val="28"/>
          <w:szCs w:val="28"/>
        </w:rPr>
        <w:t>7、在安装施工前三天，应当制作安装施工组织方案报甲方审批后执行。乙方应严格按经监理公司及甲方书面确认的施工组织方案、施工进度计划和施工安全方案进行施工。确保施工进度符合本项目整体工程要求，做好施工安全防范工作。</w:t>
      </w:r>
    </w:p>
    <w:p>
      <w:pPr>
        <w:rPr>
          <w:rFonts w:hint="eastAsia" w:ascii="仿宋" w:hAnsi="仿宋" w:eastAsia="仿宋" w:cs="仿宋"/>
          <w:sz w:val="28"/>
          <w:szCs w:val="28"/>
        </w:rPr>
      </w:pPr>
      <w:r>
        <w:rPr>
          <w:rFonts w:hint="eastAsia" w:ascii="仿宋" w:hAnsi="仿宋" w:eastAsia="仿宋" w:cs="仿宋"/>
          <w:sz w:val="28"/>
          <w:szCs w:val="28"/>
        </w:rPr>
        <w:t>8、乙方应认真按照标准、规范和设计的要求以及甲方代表依据合同发出的指令施工，随时接受甲方代表及其委派人员的检查检验、为检查检验提供便利条件，并按甲方代表及委派人员的要求返工、拆除、修改，直到经甲方和监理单位验收合格为止，乙方并应承担由此所产生的返工、拆除、修改的费用。</w:t>
      </w:r>
    </w:p>
    <w:p>
      <w:pPr>
        <w:rPr>
          <w:rFonts w:hint="eastAsia" w:ascii="仿宋" w:hAnsi="仿宋" w:eastAsia="仿宋" w:cs="仿宋"/>
          <w:sz w:val="28"/>
          <w:szCs w:val="28"/>
        </w:rPr>
      </w:pPr>
      <w:r>
        <w:rPr>
          <w:rFonts w:hint="eastAsia" w:ascii="仿宋" w:hAnsi="仿宋" w:eastAsia="仿宋" w:cs="仿宋"/>
          <w:sz w:val="28"/>
          <w:szCs w:val="28"/>
        </w:rPr>
        <w:t>9、乙方应按政府有关规定健全现场安全生产、保卫措施，采取严格的安全防护措施、防火措施，做到文明、安全施工，承担由于措施不力造成的事故责任和所发生的费用；在工程进行期间，因乙方责任造成与本工程有关或本工程引致的人身意外伤亡、财产损失、破坏或罚款，由乙方承担经济及法律责任，并赔偿甲方因此受到的经济损失。</w:t>
      </w:r>
    </w:p>
    <w:p>
      <w:pPr>
        <w:rPr>
          <w:rFonts w:hint="eastAsia" w:ascii="仿宋" w:hAnsi="仿宋" w:eastAsia="仿宋" w:cs="仿宋"/>
          <w:sz w:val="28"/>
          <w:szCs w:val="28"/>
        </w:rPr>
      </w:pPr>
      <w:r>
        <w:rPr>
          <w:rFonts w:hint="eastAsia" w:ascii="仿宋" w:hAnsi="仿宋" w:eastAsia="仿宋" w:cs="仿宋"/>
          <w:sz w:val="28"/>
          <w:szCs w:val="28"/>
        </w:rPr>
        <w:t>第十条  甲、乙方的权利与义务</w:t>
      </w:r>
    </w:p>
    <w:p>
      <w:pPr>
        <w:rPr>
          <w:rFonts w:hint="eastAsia" w:ascii="仿宋" w:hAnsi="仿宋" w:eastAsia="仿宋" w:cs="仿宋"/>
          <w:sz w:val="28"/>
          <w:szCs w:val="28"/>
        </w:rPr>
      </w:pPr>
      <w:r>
        <w:rPr>
          <w:rFonts w:hint="eastAsia" w:ascii="仿宋" w:hAnsi="仿宋" w:eastAsia="仿宋" w:cs="仿宋"/>
          <w:sz w:val="28"/>
          <w:szCs w:val="28"/>
        </w:rPr>
        <w:t>1、甲方的权利与义务</w:t>
      </w:r>
    </w:p>
    <w:p>
      <w:pPr>
        <w:rPr>
          <w:rFonts w:hint="eastAsia" w:ascii="仿宋" w:hAnsi="仿宋" w:eastAsia="仿宋" w:cs="仿宋"/>
          <w:sz w:val="28"/>
          <w:szCs w:val="28"/>
        </w:rPr>
      </w:pPr>
      <w:r>
        <w:rPr>
          <w:rFonts w:hint="eastAsia" w:ascii="仿宋" w:hAnsi="仿宋" w:eastAsia="仿宋" w:cs="仿宋"/>
          <w:sz w:val="28"/>
          <w:szCs w:val="28"/>
        </w:rPr>
        <w:t>（1）有权对乙方产品的生产、运输、安装、调试进行监督。</w:t>
      </w:r>
    </w:p>
    <w:p>
      <w:pPr>
        <w:rPr>
          <w:rFonts w:hint="eastAsia" w:ascii="仿宋" w:hAnsi="仿宋" w:eastAsia="仿宋" w:cs="仿宋"/>
          <w:sz w:val="28"/>
          <w:szCs w:val="28"/>
        </w:rPr>
      </w:pPr>
      <w:r>
        <w:rPr>
          <w:rFonts w:hint="eastAsia" w:ascii="仿宋" w:hAnsi="仿宋" w:eastAsia="仿宋" w:cs="仿宋"/>
          <w:sz w:val="28"/>
          <w:szCs w:val="28"/>
        </w:rPr>
        <w:t>（2）向乙方提供本工程施工现场现有的用水和用电接驳点。</w:t>
      </w:r>
    </w:p>
    <w:p>
      <w:pPr>
        <w:rPr>
          <w:rFonts w:hint="eastAsia" w:ascii="仿宋" w:hAnsi="仿宋" w:eastAsia="仿宋" w:cs="仿宋"/>
          <w:sz w:val="28"/>
          <w:szCs w:val="28"/>
        </w:rPr>
      </w:pPr>
      <w:r>
        <w:rPr>
          <w:rFonts w:hint="eastAsia" w:ascii="仿宋" w:hAnsi="仿宋" w:eastAsia="仿宋" w:cs="仿宋"/>
          <w:sz w:val="28"/>
          <w:szCs w:val="28"/>
        </w:rPr>
        <w:t>（3）甲方指派            为驻安装工地甲方代表，负责合同履行、工程质量、进度监督检查，验收质量、变更、登记手续和其他事宜。甲方代表的任何指令、签证，与本合同的约定有冲突的无效。甲方代表无权修改、变更本合同，其超越职权或授权的行为无效。</w:t>
      </w:r>
    </w:p>
    <w:p>
      <w:pPr>
        <w:rPr>
          <w:rFonts w:hint="eastAsia" w:ascii="仿宋" w:hAnsi="仿宋" w:eastAsia="仿宋" w:cs="仿宋"/>
          <w:sz w:val="28"/>
          <w:szCs w:val="28"/>
        </w:rPr>
      </w:pPr>
      <w:r>
        <w:rPr>
          <w:rFonts w:hint="eastAsia" w:ascii="仿宋" w:hAnsi="仿宋" w:eastAsia="仿宋" w:cs="仿宋"/>
          <w:sz w:val="28"/>
          <w:szCs w:val="28"/>
        </w:rPr>
        <w:t>（4）本合同已有约定的其他权利义务。</w:t>
      </w:r>
    </w:p>
    <w:p>
      <w:pPr>
        <w:rPr>
          <w:rFonts w:hint="eastAsia" w:ascii="仿宋" w:hAnsi="仿宋" w:eastAsia="仿宋" w:cs="仿宋"/>
          <w:sz w:val="28"/>
          <w:szCs w:val="28"/>
        </w:rPr>
      </w:pPr>
      <w:r>
        <w:rPr>
          <w:rFonts w:hint="eastAsia" w:ascii="仿宋" w:hAnsi="仿宋" w:eastAsia="仿宋" w:cs="仿宋"/>
          <w:sz w:val="28"/>
          <w:szCs w:val="28"/>
        </w:rPr>
        <w:t>2、乙方的权利与义务</w:t>
      </w:r>
    </w:p>
    <w:p>
      <w:pPr>
        <w:rPr>
          <w:rFonts w:hint="eastAsia" w:ascii="仿宋" w:hAnsi="仿宋" w:eastAsia="仿宋" w:cs="仿宋"/>
          <w:sz w:val="28"/>
          <w:szCs w:val="28"/>
        </w:rPr>
      </w:pPr>
      <w:r>
        <w:rPr>
          <w:rFonts w:hint="eastAsia" w:ascii="仿宋" w:hAnsi="仿宋" w:eastAsia="仿宋" w:cs="仿宋"/>
          <w:sz w:val="28"/>
          <w:szCs w:val="28"/>
        </w:rPr>
        <w:t>（1）乙方应按本合同的约定及时将甲方所订购的产品送达本合同约定的交货地点。</w:t>
      </w:r>
    </w:p>
    <w:p>
      <w:pPr>
        <w:rPr>
          <w:rFonts w:hint="eastAsia" w:ascii="仿宋" w:hAnsi="仿宋" w:eastAsia="仿宋" w:cs="仿宋"/>
          <w:sz w:val="28"/>
          <w:szCs w:val="28"/>
        </w:rPr>
      </w:pPr>
      <w:r>
        <w:rPr>
          <w:rFonts w:hint="eastAsia" w:ascii="仿宋" w:hAnsi="仿宋" w:eastAsia="仿宋" w:cs="仿宋"/>
          <w:sz w:val="28"/>
          <w:szCs w:val="28"/>
        </w:rPr>
        <w:t>（2）乙方指派         为乙方项目经理，负责本合同履行，按要求组织施工，保质、保量按期完成施工任务，解决由乙方负责的各项事宜，并负责签收甲、乙双方来往文件。</w:t>
      </w:r>
    </w:p>
    <w:p>
      <w:pPr>
        <w:rPr>
          <w:rFonts w:hint="eastAsia" w:ascii="仿宋" w:hAnsi="仿宋" w:eastAsia="仿宋" w:cs="仿宋"/>
          <w:sz w:val="28"/>
          <w:szCs w:val="28"/>
        </w:rPr>
      </w:pPr>
      <w:r>
        <w:rPr>
          <w:rFonts w:hint="eastAsia" w:ascii="仿宋" w:hAnsi="仿宋" w:eastAsia="仿宋" w:cs="仿宋"/>
          <w:sz w:val="28"/>
          <w:szCs w:val="28"/>
        </w:rPr>
        <w:t>（3）乙方派出的安装人员应具备相关的专业知识及技术水平，熟悉本合同所述产品的规格、技术指标及安装工艺，有足够能力安装本合同项下的产品。</w:t>
      </w:r>
    </w:p>
    <w:p>
      <w:pPr>
        <w:rPr>
          <w:rFonts w:hint="eastAsia" w:ascii="仿宋" w:hAnsi="仿宋" w:eastAsia="仿宋" w:cs="仿宋"/>
          <w:sz w:val="28"/>
          <w:szCs w:val="28"/>
        </w:rPr>
      </w:pPr>
      <w:r>
        <w:rPr>
          <w:rFonts w:hint="eastAsia" w:ascii="仿宋" w:hAnsi="仿宋" w:eastAsia="仿宋" w:cs="仿宋"/>
          <w:sz w:val="28"/>
          <w:szCs w:val="28"/>
        </w:rPr>
        <w:t>（4）乙方应对甲方工地进行详细考察，完全了解工地的状况及环境要求。</w:t>
      </w:r>
    </w:p>
    <w:p>
      <w:pPr>
        <w:rPr>
          <w:rFonts w:hint="eastAsia" w:ascii="仿宋" w:hAnsi="仿宋" w:eastAsia="仿宋" w:cs="仿宋"/>
          <w:sz w:val="28"/>
          <w:szCs w:val="28"/>
        </w:rPr>
      </w:pPr>
      <w:r>
        <w:rPr>
          <w:rFonts w:hint="eastAsia" w:ascii="仿宋" w:hAnsi="仿宋" w:eastAsia="仿宋" w:cs="仿宋"/>
          <w:sz w:val="28"/>
          <w:szCs w:val="28"/>
        </w:rPr>
        <w:t>（5）乙方所需场地必须经甲方代表核批后方能使用。工程验收合格后或合同终止后5天内，乙方应将施工场地清理干净退还甲方，余泥垃圾运出本工程场地外。若逾期未清场，甲方有权强行清场，由此所发生的费用在乙方工程款中扣除。</w:t>
      </w:r>
    </w:p>
    <w:p>
      <w:pPr>
        <w:rPr>
          <w:rFonts w:hint="eastAsia" w:ascii="仿宋" w:hAnsi="仿宋" w:eastAsia="仿宋" w:cs="仿宋"/>
          <w:sz w:val="28"/>
          <w:szCs w:val="28"/>
        </w:rPr>
      </w:pPr>
      <w:r>
        <w:rPr>
          <w:rFonts w:hint="eastAsia" w:ascii="仿宋" w:hAnsi="仿宋" w:eastAsia="仿宋" w:cs="仿宋"/>
          <w:sz w:val="28"/>
          <w:szCs w:val="28"/>
        </w:rPr>
        <w:t>（6）乙方施工用水、电所发生的水电费由乙方支付给甲方。</w:t>
      </w:r>
    </w:p>
    <w:p>
      <w:pPr>
        <w:rPr>
          <w:rFonts w:hint="eastAsia" w:ascii="仿宋" w:hAnsi="仿宋" w:eastAsia="仿宋" w:cs="仿宋"/>
          <w:sz w:val="28"/>
          <w:szCs w:val="28"/>
        </w:rPr>
      </w:pPr>
      <w:r>
        <w:rPr>
          <w:rFonts w:hint="eastAsia" w:ascii="仿宋" w:hAnsi="仿宋" w:eastAsia="仿宋" w:cs="仿宋"/>
          <w:sz w:val="28"/>
          <w:szCs w:val="28"/>
        </w:rPr>
        <w:t>（7）未经甲方书面同意，乙方不得将本工程转包或分包给第三方进行施工。</w:t>
      </w:r>
    </w:p>
    <w:p>
      <w:pPr>
        <w:rPr>
          <w:rFonts w:hint="eastAsia" w:ascii="仿宋" w:hAnsi="仿宋" w:eastAsia="仿宋" w:cs="仿宋"/>
          <w:sz w:val="28"/>
          <w:szCs w:val="28"/>
        </w:rPr>
      </w:pPr>
      <w:r>
        <w:rPr>
          <w:rFonts w:hint="eastAsia" w:ascii="仿宋" w:hAnsi="仿宋" w:eastAsia="仿宋" w:cs="仿宋"/>
          <w:sz w:val="28"/>
          <w:szCs w:val="28"/>
        </w:rPr>
        <w:t>（8）乙方人员不得在本工程范围内住宿。</w:t>
      </w:r>
    </w:p>
    <w:p>
      <w:pPr>
        <w:rPr>
          <w:rFonts w:hint="eastAsia" w:ascii="仿宋" w:hAnsi="仿宋" w:eastAsia="仿宋" w:cs="仿宋"/>
          <w:sz w:val="28"/>
          <w:szCs w:val="28"/>
        </w:rPr>
      </w:pPr>
      <w:r>
        <w:rPr>
          <w:rFonts w:hint="eastAsia" w:ascii="仿宋" w:hAnsi="仿宋" w:eastAsia="仿宋" w:cs="仿宋"/>
          <w:sz w:val="28"/>
          <w:szCs w:val="28"/>
        </w:rPr>
        <w:t>（9）施工中未经甲方同意或有关部门批准，不得拆改原建筑物结构及各种管线，不得损坏建筑物内原有的装修。</w:t>
      </w:r>
    </w:p>
    <w:p>
      <w:pPr>
        <w:rPr>
          <w:rFonts w:hint="eastAsia" w:ascii="仿宋" w:hAnsi="仿宋" w:eastAsia="仿宋" w:cs="仿宋"/>
          <w:sz w:val="28"/>
          <w:szCs w:val="28"/>
        </w:rPr>
      </w:pPr>
      <w:r>
        <w:rPr>
          <w:rFonts w:hint="eastAsia" w:ascii="仿宋" w:hAnsi="仿宋" w:eastAsia="仿宋" w:cs="仿宋"/>
          <w:sz w:val="28"/>
          <w:szCs w:val="28"/>
        </w:rPr>
        <w:t>（10）乙方应对工地所在地作业和施工方法的适当性、可靠性及安全性负全责。对于乙方雇用的工人和其他工作人员受到的任何人身或其他损害，应由乙方自行负责处理并承担损害赔偿等法律责任。对于这类损害和赔偿，乙方应保障甲方不负任何责任，且保障甲方不负担涉及这类损害与赔偿或与此有关的索赔、诉讼、损害赔偿、诉讼费、赔偿费及其它费用。</w:t>
      </w:r>
    </w:p>
    <w:p>
      <w:pPr>
        <w:rPr>
          <w:rFonts w:hint="eastAsia" w:ascii="仿宋" w:hAnsi="仿宋" w:eastAsia="仿宋" w:cs="仿宋"/>
          <w:sz w:val="28"/>
          <w:szCs w:val="28"/>
        </w:rPr>
      </w:pPr>
      <w:r>
        <w:rPr>
          <w:rFonts w:hint="eastAsia" w:ascii="仿宋" w:hAnsi="仿宋" w:eastAsia="仿宋" w:cs="仿宋"/>
          <w:sz w:val="28"/>
          <w:szCs w:val="28"/>
        </w:rPr>
        <w:t>（11）乙方同意在甲方提供现有的现场条件下，采取各种有效措施，保证工程持续施工。乙方在施工过程中应无条件服从甲方和监理单位的指挥和安排。</w:t>
      </w:r>
    </w:p>
    <w:p>
      <w:pPr>
        <w:rPr>
          <w:rFonts w:hint="eastAsia" w:ascii="仿宋" w:hAnsi="仿宋" w:eastAsia="仿宋" w:cs="仿宋"/>
          <w:sz w:val="28"/>
          <w:szCs w:val="28"/>
        </w:rPr>
      </w:pPr>
      <w:r>
        <w:rPr>
          <w:rFonts w:hint="eastAsia" w:ascii="仿宋" w:hAnsi="仿宋" w:eastAsia="仿宋" w:cs="仿宋"/>
          <w:sz w:val="28"/>
          <w:szCs w:val="28"/>
        </w:rPr>
        <w:t>（12）若发生乙方拖欠分包单位工程款或所属工人工资的情况，甲方有权在应支付给乙方的工程款中暂扣所拖欠的款项，直至乙方向其分包单位或所属工人付清应当支付的款项为止。若发生此情况十天内，乙方仍未支付的，乙方在此承诺并同意由甲方将该所拖欠的款项直接支付给分包单位或工人，该代为支付的款项在工程结算款中扣除，乙方应当向甲方提供该款项等额有效的税务发票。</w:t>
      </w:r>
    </w:p>
    <w:p>
      <w:pPr>
        <w:rPr>
          <w:rFonts w:hint="eastAsia" w:ascii="仿宋" w:hAnsi="仿宋" w:eastAsia="仿宋" w:cs="仿宋"/>
          <w:sz w:val="28"/>
          <w:szCs w:val="28"/>
        </w:rPr>
      </w:pPr>
      <w:r>
        <w:rPr>
          <w:rFonts w:hint="eastAsia" w:ascii="仿宋" w:hAnsi="仿宋" w:eastAsia="仿宋" w:cs="仿宋"/>
          <w:sz w:val="28"/>
          <w:szCs w:val="28"/>
        </w:rPr>
        <w:t>（13）本合同已有约定的其他权利义务。</w:t>
      </w:r>
    </w:p>
    <w:p>
      <w:pPr>
        <w:rPr>
          <w:rFonts w:hint="eastAsia" w:ascii="仿宋" w:hAnsi="仿宋" w:eastAsia="仿宋" w:cs="仿宋"/>
          <w:sz w:val="28"/>
          <w:szCs w:val="28"/>
        </w:rPr>
      </w:pPr>
      <w:r>
        <w:rPr>
          <w:rFonts w:hint="eastAsia" w:ascii="仿宋" w:hAnsi="仿宋" w:eastAsia="仿宋" w:cs="仿宋"/>
          <w:sz w:val="28"/>
          <w:szCs w:val="28"/>
        </w:rPr>
        <w:t>第十条、  知识产权</w:t>
      </w:r>
    </w:p>
    <w:p>
      <w:pPr>
        <w:rPr>
          <w:rFonts w:hint="eastAsia" w:ascii="仿宋" w:hAnsi="仿宋" w:eastAsia="仿宋" w:cs="仿宋"/>
          <w:sz w:val="28"/>
          <w:szCs w:val="28"/>
        </w:rPr>
      </w:pPr>
      <w:r>
        <w:rPr>
          <w:rFonts w:hint="eastAsia" w:ascii="仿宋" w:hAnsi="仿宋" w:eastAsia="仿宋" w:cs="仿宋"/>
          <w:sz w:val="28"/>
          <w:szCs w:val="28"/>
        </w:rPr>
        <w:t>1、乙方应保证其设计成果不会侵犯第三方的知识产权、肖像权及名誉权，如因乙方的原因导致乙方的设计成果导致甲方与第三方发生纠纷的，由乙方负责处理并承担全部法律责任，即使判决、裁定、决定确定由甲方承担责任，此责任最后也应由乙方承担，因此造成甲方损失的，乙方应负责赔偿。</w:t>
      </w:r>
    </w:p>
    <w:p>
      <w:pPr>
        <w:rPr>
          <w:rFonts w:hint="eastAsia" w:ascii="仿宋" w:hAnsi="仿宋" w:eastAsia="仿宋" w:cs="仿宋"/>
          <w:sz w:val="28"/>
          <w:szCs w:val="28"/>
        </w:rPr>
      </w:pPr>
      <w:r>
        <w:rPr>
          <w:rFonts w:hint="eastAsia" w:ascii="仿宋" w:hAnsi="仿宋" w:eastAsia="仿宋" w:cs="仿宋"/>
          <w:sz w:val="28"/>
          <w:szCs w:val="28"/>
        </w:rPr>
        <w:t>2、本设计成果包括但不限于设计方案、文件、资料图纸等的著作权和所有权归甲方所有，未经甲方书面同意，乙方不得擅自修改、复制或向第三人转让或用于本合同外的任何项目，如发生以上情况，甲方有权要求乙方赔偿因此受到的损失。</w:t>
      </w:r>
    </w:p>
    <w:p>
      <w:pPr>
        <w:rPr>
          <w:rFonts w:hint="eastAsia" w:ascii="仿宋" w:hAnsi="仿宋" w:eastAsia="仿宋" w:cs="仿宋"/>
          <w:sz w:val="28"/>
          <w:szCs w:val="28"/>
        </w:rPr>
      </w:pPr>
      <w:r>
        <w:rPr>
          <w:rFonts w:hint="eastAsia" w:ascii="仿宋" w:hAnsi="仿宋" w:eastAsia="仿宋" w:cs="仿宋"/>
          <w:sz w:val="28"/>
          <w:szCs w:val="28"/>
        </w:rPr>
        <w:t>第十一条、 保密条款</w:t>
      </w:r>
    </w:p>
    <w:p>
      <w:pPr>
        <w:rPr>
          <w:rFonts w:hint="eastAsia" w:ascii="仿宋" w:hAnsi="仿宋" w:eastAsia="仿宋" w:cs="仿宋"/>
          <w:sz w:val="28"/>
          <w:szCs w:val="28"/>
        </w:rPr>
      </w:pPr>
      <w:r>
        <w:rPr>
          <w:rFonts w:hint="eastAsia" w:ascii="仿宋" w:hAnsi="仿宋" w:eastAsia="仿宋" w:cs="仿宋"/>
          <w:sz w:val="28"/>
          <w:szCs w:val="28"/>
        </w:rPr>
        <w:t xml:space="preserve">    甲、乙双方承诺，对其因签订和履行本合同而取得的所有任何有关的资料，任何一方均有义务保证其员工严格保守秘密，因一方未尽此义务而使另一方受到损失的，应赔偿另一方因此受到的损失。</w:t>
      </w:r>
    </w:p>
    <w:p>
      <w:pPr>
        <w:rPr>
          <w:rFonts w:hint="eastAsia" w:ascii="仿宋" w:hAnsi="仿宋" w:eastAsia="仿宋" w:cs="仿宋"/>
          <w:sz w:val="28"/>
          <w:szCs w:val="28"/>
        </w:rPr>
      </w:pPr>
      <w:r>
        <w:rPr>
          <w:rFonts w:hint="eastAsia" w:ascii="仿宋" w:hAnsi="仿宋" w:eastAsia="仿宋" w:cs="仿宋"/>
          <w:sz w:val="28"/>
          <w:szCs w:val="28"/>
        </w:rPr>
        <w:t>第十二条、 质量保修</w:t>
      </w:r>
    </w:p>
    <w:p>
      <w:pPr>
        <w:rPr>
          <w:rFonts w:hint="eastAsia" w:ascii="仿宋" w:hAnsi="仿宋" w:eastAsia="仿宋" w:cs="仿宋"/>
          <w:sz w:val="28"/>
          <w:szCs w:val="28"/>
        </w:rPr>
      </w:pPr>
      <w:r>
        <w:rPr>
          <w:rFonts w:hint="eastAsia" w:ascii="仿宋" w:hAnsi="仿宋" w:eastAsia="仿宋" w:cs="仿宋"/>
          <w:sz w:val="28"/>
          <w:szCs w:val="28"/>
        </w:rPr>
        <w:t>1、本合同项下产品的保修期为产品送达交货地点安装完成，并经甲方验收合格之日起计，保修期为一年。</w:t>
      </w:r>
    </w:p>
    <w:p>
      <w:pPr>
        <w:rPr>
          <w:rFonts w:hint="eastAsia" w:ascii="仿宋" w:hAnsi="仿宋" w:eastAsia="仿宋" w:cs="仿宋"/>
          <w:sz w:val="28"/>
          <w:szCs w:val="28"/>
        </w:rPr>
      </w:pPr>
      <w:r>
        <w:rPr>
          <w:rFonts w:hint="eastAsia" w:ascii="仿宋" w:hAnsi="仿宋" w:eastAsia="仿宋" w:cs="仿宋"/>
          <w:sz w:val="28"/>
          <w:szCs w:val="28"/>
        </w:rPr>
        <w:t>2、质保期内产品出现问题，乙方须在接到通知后8小时内到达现场进行维修，并应在24小时内维修完毕，超时不到位或无法完成修理的，甲方有权另请其他单位前来维修，由此产生的费用由乙方负责。若乙方拒付该费用时，甲方有权在质量保证金中直接扣减支付给维修单位，质量保证金不足扣减的乙方应另行支付给甲方。</w:t>
      </w:r>
    </w:p>
    <w:p>
      <w:pPr>
        <w:rPr>
          <w:rFonts w:hint="eastAsia" w:ascii="仿宋" w:hAnsi="仿宋" w:eastAsia="仿宋" w:cs="仿宋"/>
          <w:sz w:val="28"/>
          <w:szCs w:val="28"/>
        </w:rPr>
      </w:pPr>
      <w:r>
        <w:rPr>
          <w:rFonts w:hint="eastAsia" w:ascii="仿宋" w:hAnsi="仿宋" w:eastAsia="仿宋" w:cs="仿宋"/>
          <w:sz w:val="28"/>
          <w:szCs w:val="28"/>
        </w:rPr>
        <w:t>3、若产品质量问题在保修期内发生，但乙方在保修期内未进行维修或保修期满后该问题未处理完毕的，乙方仍然应当对该项质量问题承担免费保修责任。</w:t>
      </w:r>
    </w:p>
    <w:p>
      <w:pPr>
        <w:rPr>
          <w:rFonts w:hint="eastAsia" w:ascii="仿宋" w:hAnsi="仿宋" w:eastAsia="仿宋" w:cs="仿宋"/>
          <w:sz w:val="28"/>
          <w:szCs w:val="28"/>
        </w:rPr>
      </w:pPr>
      <w:r>
        <w:rPr>
          <w:rFonts w:hint="eastAsia" w:ascii="仿宋" w:hAnsi="仿宋" w:eastAsia="仿宋" w:cs="仿宋"/>
          <w:sz w:val="28"/>
          <w:szCs w:val="28"/>
        </w:rPr>
        <w:t>4、以上保修并不免除乙方对所供应产品所应承担的质量保证责任。</w:t>
      </w:r>
    </w:p>
    <w:p>
      <w:pPr>
        <w:rPr>
          <w:rFonts w:hint="eastAsia" w:ascii="仿宋" w:hAnsi="仿宋" w:eastAsia="仿宋" w:cs="仿宋"/>
          <w:sz w:val="28"/>
          <w:szCs w:val="28"/>
        </w:rPr>
      </w:pPr>
      <w:r>
        <w:rPr>
          <w:rFonts w:hint="eastAsia" w:ascii="仿宋" w:hAnsi="仿宋" w:eastAsia="仿宋" w:cs="仿宋"/>
          <w:sz w:val="28"/>
          <w:szCs w:val="28"/>
        </w:rPr>
        <w:t>第十三条、违约责任：</w:t>
      </w:r>
    </w:p>
    <w:p>
      <w:pPr>
        <w:rPr>
          <w:rFonts w:hint="eastAsia" w:ascii="仿宋" w:hAnsi="仿宋" w:eastAsia="仿宋" w:cs="仿宋"/>
          <w:sz w:val="28"/>
          <w:szCs w:val="28"/>
        </w:rPr>
      </w:pPr>
      <w:r>
        <w:rPr>
          <w:rFonts w:hint="eastAsia" w:ascii="仿宋" w:hAnsi="仿宋" w:eastAsia="仿宋" w:cs="仿宋"/>
          <w:sz w:val="28"/>
          <w:szCs w:val="28"/>
        </w:rPr>
        <w:t>1、任何一方违反本合同的约定，均构成违约，违约方应当承担违约责任并赔偿守约方因此受到的损失。</w:t>
      </w:r>
    </w:p>
    <w:p>
      <w:pPr>
        <w:rPr>
          <w:rFonts w:hint="eastAsia" w:ascii="仿宋" w:hAnsi="仿宋" w:eastAsia="仿宋" w:cs="仿宋"/>
          <w:sz w:val="28"/>
          <w:szCs w:val="28"/>
        </w:rPr>
      </w:pPr>
      <w:r>
        <w:rPr>
          <w:rFonts w:hint="eastAsia" w:ascii="仿宋" w:hAnsi="仿宋" w:eastAsia="仿宋" w:cs="仿宋"/>
          <w:sz w:val="28"/>
          <w:szCs w:val="28"/>
        </w:rPr>
        <w:t>2、甲方未按本合同约定或法律规定单方面解除本合同，无权要求乙方返还定金。乙方未按本合同约定或法律单方面解除本合同，应当向甲方双倍返还定金。</w:t>
      </w:r>
    </w:p>
    <w:p>
      <w:pPr>
        <w:rPr>
          <w:rFonts w:hint="eastAsia" w:ascii="仿宋" w:hAnsi="仿宋" w:eastAsia="仿宋" w:cs="仿宋"/>
          <w:sz w:val="28"/>
          <w:szCs w:val="28"/>
        </w:rPr>
      </w:pPr>
      <w:r>
        <w:rPr>
          <w:rFonts w:hint="eastAsia" w:ascii="仿宋" w:hAnsi="仿宋" w:eastAsia="仿宋" w:cs="仿宋"/>
          <w:sz w:val="28"/>
          <w:szCs w:val="28"/>
        </w:rPr>
        <w:t>3、甲方未按约定时间支付货款的，按照当期中国人民银行同期贷款利率支付应付款利息。</w:t>
      </w:r>
    </w:p>
    <w:p>
      <w:pPr>
        <w:rPr>
          <w:rFonts w:hint="eastAsia" w:ascii="仿宋" w:hAnsi="仿宋" w:eastAsia="仿宋" w:cs="仿宋"/>
          <w:sz w:val="28"/>
          <w:szCs w:val="28"/>
        </w:rPr>
      </w:pPr>
      <w:r>
        <w:rPr>
          <w:rFonts w:hint="eastAsia" w:ascii="仿宋" w:hAnsi="仿宋" w:eastAsia="仿宋" w:cs="仿宋"/>
          <w:sz w:val="28"/>
          <w:szCs w:val="28"/>
        </w:rPr>
        <w:t>4、乙方不按约定时间交货并完成安装的，从逾期的第二天起计，每逾期一日须向甲方支付合同暂定总价千分之一的违约金，逾期超过十五天的，甲方有权单方面解除本合同，同时，乙方应向甲方支付合同暂定总价30%的违约金。</w:t>
      </w:r>
    </w:p>
    <w:p>
      <w:pPr>
        <w:rPr>
          <w:rFonts w:hint="eastAsia" w:ascii="仿宋" w:hAnsi="仿宋" w:eastAsia="仿宋" w:cs="仿宋"/>
          <w:sz w:val="28"/>
          <w:szCs w:val="28"/>
        </w:rPr>
      </w:pPr>
      <w:r>
        <w:rPr>
          <w:rFonts w:hint="eastAsia" w:ascii="仿宋" w:hAnsi="仿宋" w:eastAsia="仿宋" w:cs="仿宋"/>
          <w:sz w:val="28"/>
          <w:szCs w:val="28"/>
        </w:rPr>
        <w:t>5、乙方供应的产品其质量不符合本合同约定标准的（包括但不限于产品瑕疵、产品质量不合格、产品无法正常使用等问题），乙方应当立即进行修复、更换、维修、重做，因此造成迟延交付的，应按本合同有关约定的违约责任向甲方支付违约金。若经以上工序，乙方产品仍不符合本合同约定的，甲方有权解除本合同，有权要求乙方返还该部分产品甲方已付款，同时乙方向甲方支付合同暂定总价30％的违约金。</w:t>
      </w:r>
    </w:p>
    <w:p>
      <w:pPr>
        <w:rPr>
          <w:rFonts w:hint="eastAsia" w:ascii="仿宋" w:hAnsi="仿宋" w:eastAsia="仿宋" w:cs="仿宋"/>
          <w:sz w:val="28"/>
          <w:szCs w:val="28"/>
        </w:rPr>
      </w:pPr>
      <w:r>
        <w:rPr>
          <w:rFonts w:hint="eastAsia" w:ascii="仿宋" w:hAnsi="仿宋" w:eastAsia="仿宋" w:cs="仿宋"/>
          <w:sz w:val="28"/>
          <w:szCs w:val="28"/>
        </w:rPr>
        <w:t>6、由于乙方产品质量问题，造成使用人与甲方发生合同或侵权等纠纷的，由乙方承担因此发生的全部修复、更换等费用，并赔偿因此给甲方和/或其他方造成的经济损失。</w:t>
      </w:r>
    </w:p>
    <w:p>
      <w:pPr>
        <w:rPr>
          <w:rFonts w:hint="eastAsia" w:ascii="仿宋" w:hAnsi="仿宋" w:eastAsia="仿宋" w:cs="仿宋"/>
          <w:sz w:val="28"/>
          <w:szCs w:val="28"/>
        </w:rPr>
      </w:pPr>
      <w:r>
        <w:rPr>
          <w:rFonts w:hint="eastAsia" w:ascii="仿宋" w:hAnsi="仿宋" w:eastAsia="仿宋" w:cs="仿宋"/>
          <w:sz w:val="28"/>
          <w:szCs w:val="28"/>
        </w:rPr>
        <w:t>第十四条、 不可抗力</w:t>
      </w:r>
    </w:p>
    <w:p>
      <w:pPr>
        <w:rPr>
          <w:rFonts w:hint="eastAsia" w:ascii="仿宋" w:hAnsi="仿宋" w:eastAsia="仿宋" w:cs="仿宋"/>
          <w:sz w:val="28"/>
          <w:szCs w:val="28"/>
        </w:rPr>
      </w:pPr>
      <w:r>
        <w:rPr>
          <w:rFonts w:hint="eastAsia" w:ascii="仿宋" w:hAnsi="仿宋" w:eastAsia="仿宋" w:cs="仿宋"/>
          <w:sz w:val="28"/>
          <w:szCs w:val="28"/>
        </w:rPr>
        <w:t>在本合同的履行过程中，如发生人力不可抗力的事件（如天灾、意外事故、战争等），任何一方有义务及时通知另一方，并在发生不可抗力之日起15日内将有关当局（政府部门）签署的证明文件送达另一方。由双方按不可抗力对原合同的影响程度进行协调，确定是否变更或解除合同。</w:t>
      </w:r>
    </w:p>
    <w:p>
      <w:pPr>
        <w:rPr>
          <w:rFonts w:hint="eastAsia" w:ascii="仿宋" w:hAnsi="仿宋" w:eastAsia="仿宋" w:cs="仿宋"/>
          <w:sz w:val="28"/>
          <w:szCs w:val="28"/>
        </w:rPr>
      </w:pPr>
      <w:r>
        <w:rPr>
          <w:rFonts w:hint="eastAsia" w:ascii="仿宋" w:hAnsi="仿宋" w:eastAsia="仿宋" w:cs="仿宋"/>
          <w:sz w:val="28"/>
          <w:szCs w:val="28"/>
        </w:rPr>
        <w:t>第十五条、 解决争议的方式：</w:t>
      </w:r>
    </w:p>
    <w:p>
      <w:pPr>
        <w:rPr>
          <w:rFonts w:hint="eastAsia" w:ascii="仿宋" w:hAnsi="仿宋" w:eastAsia="仿宋" w:cs="仿宋"/>
          <w:sz w:val="28"/>
          <w:szCs w:val="28"/>
        </w:rPr>
      </w:pPr>
      <w:r>
        <w:rPr>
          <w:rFonts w:hint="eastAsia" w:ascii="仿宋" w:hAnsi="仿宋" w:eastAsia="仿宋" w:cs="仿宋"/>
          <w:sz w:val="28"/>
          <w:szCs w:val="28"/>
        </w:rPr>
        <w:t>1、甲、乙双方友好协商。</w:t>
      </w:r>
    </w:p>
    <w:p>
      <w:pPr>
        <w:rPr>
          <w:rFonts w:hint="eastAsia" w:ascii="仿宋" w:hAnsi="仿宋" w:eastAsia="仿宋" w:cs="仿宋"/>
          <w:sz w:val="28"/>
          <w:szCs w:val="28"/>
        </w:rPr>
      </w:pPr>
      <w:r>
        <w:rPr>
          <w:rFonts w:hint="eastAsia" w:ascii="仿宋" w:hAnsi="仿宋" w:eastAsia="仿宋" w:cs="仿宋"/>
          <w:sz w:val="28"/>
          <w:szCs w:val="28"/>
        </w:rPr>
        <w:t>2、依法向</w:t>
      </w:r>
      <w:r>
        <w:rPr>
          <w:rFonts w:hint="eastAsia" w:ascii="仿宋" w:hAnsi="仿宋" w:eastAsia="仿宋" w:cs="仿宋"/>
          <w:sz w:val="28"/>
          <w:szCs w:val="28"/>
          <w:lang w:val="en-US" w:eastAsia="zh-CN"/>
        </w:rPr>
        <w:t>广州城投禧悦府</w:t>
      </w:r>
      <w:r>
        <w:rPr>
          <w:rFonts w:hint="eastAsia" w:ascii="仿宋" w:hAnsi="仿宋" w:eastAsia="仿宋" w:cs="仿宋"/>
          <w:sz w:val="28"/>
          <w:szCs w:val="28"/>
        </w:rPr>
        <w:t>项目所在地有管辖权的人民法院起诉。</w:t>
      </w:r>
    </w:p>
    <w:p>
      <w:pPr>
        <w:rPr>
          <w:rFonts w:hint="eastAsia" w:ascii="仿宋" w:hAnsi="仿宋" w:eastAsia="仿宋" w:cs="仿宋"/>
          <w:sz w:val="28"/>
          <w:szCs w:val="28"/>
        </w:rPr>
      </w:pPr>
      <w:r>
        <w:rPr>
          <w:rFonts w:hint="eastAsia" w:ascii="仿宋" w:hAnsi="仿宋" w:eastAsia="仿宋" w:cs="仿宋"/>
          <w:sz w:val="28"/>
          <w:szCs w:val="28"/>
        </w:rPr>
        <w:t>第十六条、 合同的解除</w:t>
      </w:r>
    </w:p>
    <w:p>
      <w:pPr>
        <w:rPr>
          <w:rFonts w:hint="eastAsia" w:ascii="仿宋" w:hAnsi="仿宋" w:eastAsia="仿宋" w:cs="仿宋"/>
          <w:sz w:val="28"/>
          <w:szCs w:val="28"/>
        </w:rPr>
      </w:pPr>
      <w:r>
        <w:rPr>
          <w:rFonts w:hint="eastAsia" w:ascii="仿宋" w:hAnsi="仿宋" w:eastAsia="仿宋" w:cs="仿宋"/>
          <w:sz w:val="28"/>
          <w:szCs w:val="28"/>
        </w:rPr>
        <w:t>1、甲、乙双方协商一致，可以解除合同。</w:t>
      </w:r>
    </w:p>
    <w:p>
      <w:pPr>
        <w:rPr>
          <w:rFonts w:hint="eastAsia" w:ascii="仿宋" w:hAnsi="仿宋" w:eastAsia="仿宋" w:cs="仿宋"/>
          <w:sz w:val="28"/>
          <w:szCs w:val="28"/>
        </w:rPr>
      </w:pPr>
      <w:r>
        <w:rPr>
          <w:rFonts w:hint="eastAsia" w:ascii="仿宋" w:hAnsi="仿宋" w:eastAsia="仿宋" w:cs="仿宋"/>
          <w:sz w:val="28"/>
          <w:szCs w:val="28"/>
        </w:rPr>
        <w:t>2、有下列情形之一的，相对方可以解除合同：</w:t>
      </w:r>
    </w:p>
    <w:p>
      <w:pPr>
        <w:rPr>
          <w:rFonts w:hint="eastAsia" w:ascii="仿宋" w:hAnsi="仿宋" w:eastAsia="仿宋" w:cs="仿宋"/>
          <w:sz w:val="28"/>
          <w:szCs w:val="28"/>
        </w:rPr>
      </w:pPr>
      <w:r>
        <w:rPr>
          <w:rFonts w:hint="eastAsia" w:ascii="仿宋" w:hAnsi="仿宋" w:eastAsia="仿宋" w:cs="仿宋"/>
          <w:sz w:val="28"/>
          <w:szCs w:val="28"/>
        </w:rPr>
        <w:t>（1）因不可抗力致使合同无法履行。</w:t>
      </w:r>
    </w:p>
    <w:p>
      <w:pPr>
        <w:rPr>
          <w:rFonts w:hint="eastAsia" w:ascii="仿宋" w:hAnsi="仿宋" w:eastAsia="仿宋" w:cs="仿宋"/>
          <w:sz w:val="28"/>
          <w:szCs w:val="28"/>
        </w:rPr>
      </w:pPr>
      <w:r>
        <w:rPr>
          <w:rFonts w:hint="eastAsia" w:ascii="仿宋" w:hAnsi="仿宋" w:eastAsia="仿宋" w:cs="仿宋"/>
          <w:sz w:val="28"/>
          <w:szCs w:val="28"/>
        </w:rPr>
        <w:t>（2）出现法律规定的解除合同情形的。</w:t>
      </w:r>
    </w:p>
    <w:p>
      <w:pPr>
        <w:rPr>
          <w:rFonts w:hint="eastAsia" w:ascii="仿宋" w:hAnsi="仿宋" w:eastAsia="仿宋" w:cs="仿宋"/>
          <w:sz w:val="28"/>
          <w:szCs w:val="28"/>
        </w:rPr>
      </w:pPr>
      <w:r>
        <w:rPr>
          <w:rFonts w:hint="eastAsia" w:ascii="仿宋" w:hAnsi="仿宋" w:eastAsia="仿宋" w:cs="仿宋"/>
          <w:sz w:val="28"/>
          <w:szCs w:val="28"/>
        </w:rPr>
        <w:t>（3）本合同约定的其他解除情形。</w:t>
      </w:r>
    </w:p>
    <w:p>
      <w:pPr>
        <w:rPr>
          <w:rFonts w:hint="eastAsia" w:ascii="仿宋" w:hAnsi="仿宋" w:eastAsia="仿宋" w:cs="仿宋"/>
          <w:sz w:val="28"/>
          <w:szCs w:val="28"/>
        </w:rPr>
      </w:pPr>
      <w:r>
        <w:rPr>
          <w:rFonts w:hint="eastAsia" w:ascii="仿宋" w:hAnsi="仿宋" w:eastAsia="仿宋" w:cs="仿宋"/>
          <w:sz w:val="28"/>
          <w:szCs w:val="28"/>
        </w:rPr>
        <w:t>3、一方要求解除合同的，应以书面形式向对方发出解除合同的通知，通知到达对方时合同解除。对解除合同有争议的，按关于争议的约定处理。</w:t>
      </w:r>
    </w:p>
    <w:p>
      <w:pPr>
        <w:rPr>
          <w:rFonts w:hint="eastAsia" w:ascii="仿宋" w:hAnsi="仿宋" w:eastAsia="仿宋" w:cs="仿宋"/>
          <w:sz w:val="28"/>
          <w:szCs w:val="28"/>
        </w:rPr>
      </w:pPr>
      <w:r>
        <w:rPr>
          <w:rFonts w:hint="eastAsia" w:ascii="仿宋" w:hAnsi="仿宋" w:eastAsia="仿宋" w:cs="仿宋"/>
          <w:sz w:val="28"/>
          <w:szCs w:val="28"/>
        </w:rPr>
        <w:t>4、合同解除后，不影响双方在本合同中约定的结算和清理条款的效力。</w:t>
      </w:r>
    </w:p>
    <w:p>
      <w:pPr>
        <w:rPr>
          <w:rFonts w:hint="eastAsia" w:ascii="仿宋" w:hAnsi="仿宋" w:eastAsia="仿宋" w:cs="仿宋"/>
          <w:sz w:val="28"/>
          <w:szCs w:val="28"/>
        </w:rPr>
      </w:pPr>
      <w:r>
        <w:rPr>
          <w:rFonts w:hint="eastAsia" w:ascii="仿宋" w:hAnsi="仿宋" w:eastAsia="仿宋" w:cs="仿宋"/>
          <w:sz w:val="28"/>
          <w:szCs w:val="28"/>
        </w:rPr>
        <w:t>第十七条、附件</w:t>
      </w:r>
    </w:p>
    <w:p>
      <w:pPr>
        <w:rPr>
          <w:rFonts w:hint="eastAsia" w:ascii="仿宋" w:hAnsi="仿宋" w:eastAsia="仿宋" w:cs="仿宋"/>
          <w:sz w:val="28"/>
          <w:szCs w:val="28"/>
        </w:rPr>
      </w:pPr>
      <w:r>
        <w:rPr>
          <w:rFonts w:hint="eastAsia" w:ascii="仿宋" w:hAnsi="仿宋" w:eastAsia="仿宋" w:cs="仿宋"/>
          <w:sz w:val="28"/>
          <w:szCs w:val="28"/>
        </w:rPr>
        <w:t xml:space="preserve"> 《禧悦府项目停车场及导视围挡物料清单报价表》</w:t>
      </w:r>
    </w:p>
    <w:p>
      <w:pPr>
        <w:rPr>
          <w:rFonts w:hint="eastAsia" w:ascii="仿宋" w:hAnsi="仿宋" w:eastAsia="仿宋" w:cs="仿宋"/>
          <w:sz w:val="28"/>
          <w:szCs w:val="28"/>
        </w:rPr>
      </w:pPr>
      <w:r>
        <w:rPr>
          <w:rFonts w:hint="eastAsia" w:ascii="仿宋" w:hAnsi="仿宋" w:eastAsia="仿宋" w:cs="仿宋"/>
          <w:sz w:val="28"/>
          <w:szCs w:val="28"/>
        </w:rPr>
        <w:t>第十八条、合同生效及其他</w:t>
      </w:r>
    </w:p>
    <w:p>
      <w:pPr>
        <w:rPr>
          <w:rFonts w:hint="eastAsia" w:ascii="仿宋" w:hAnsi="仿宋" w:eastAsia="仿宋" w:cs="仿宋"/>
          <w:sz w:val="28"/>
          <w:szCs w:val="28"/>
        </w:rPr>
      </w:pPr>
      <w:r>
        <w:rPr>
          <w:rFonts w:hint="eastAsia" w:ascii="仿宋" w:hAnsi="仿宋" w:eastAsia="仿宋" w:cs="仿宋"/>
          <w:sz w:val="28"/>
          <w:szCs w:val="28"/>
        </w:rPr>
        <w:t>1、由于不可抗力因素致使合同无法履行时，双方应及时协商解决。</w:t>
      </w:r>
    </w:p>
    <w:p>
      <w:pPr>
        <w:rPr>
          <w:rFonts w:hint="eastAsia" w:ascii="仿宋" w:hAnsi="仿宋" w:eastAsia="仿宋" w:cs="仿宋"/>
          <w:sz w:val="28"/>
          <w:szCs w:val="28"/>
        </w:rPr>
      </w:pPr>
      <w:r>
        <w:rPr>
          <w:rFonts w:hint="eastAsia" w:ascii="仿宋" w:hAnsi="仿宋" w:eastAsia="仿宋" w:cs="仿宋"/>
          <w:sz w:val="28"/>
          <w:szCs w:val="28"/>
        </w:rPr>
        <w:t>2、未尽事宜，经双方协商一致，签订补充协议，补充协议与本合同具有同等效力。</w:t>
      </w:r>
    </w:p>
    <w:p>
      <w:pPr>
        <w:rPr>
          <w:rFonts w:hint="eastAsia" w:ascii="仿宋" w:hAnsi="仿宋" w:eastAsia="仿宋" w:cs="仿宋"/>
          <w:sz w:val="28"/>
          <w:szCs w:val="28"/>
        </w:rPr>
      </w:pPr>
      <w:r>
        <w:rPr>
          <w:rFonts w:hint="eastAsia" w:ascii="仿宋" w:hAnsi="仿宋" w:eastAsia="仿宋" w:cs="仿宋"/>
          <w:sz w:val="28"/>
          <w:szCs w:val="28"/>
        </w:rPr>
        <w:t>3、双方联系方式：</w:t>
      </w:r>
    </w:p>
    <w:p>
      <w:pPr>
        <w:rPr>
          <w:rFonts w:hint="eastAsia" w:ascii="仿宋" w:hAnsi="仿宋" w:eastAsia="仿宋" w:cs="仿宋"/>
          <w:sz w:val="28"/>
          <w:szCs w:val="28"/>
        </w:rPr>
      </w:pPr>
      <w:r>
        <w:rPr>
          <w:rFonts w:hint="eastAsia" w:ascii="仿宋" w:hAnsi="仿宋" w:eastAsia="仿宋" w:cs="仿宋"/>
          <w:sz w:val="28"/>
          <w:szCs w:val="28"/>
        </w:rPr>
        <w:t>甲方：</w:t>
      </w:r>
    </w:p>
    <w:p>
      <w:pPr>
        <w:rPr>
          <w:rFonts w:hint="eastAsia" w:ascii="仿宋" w:hAnsi="仿宋" w:eastAsia="仿宋" w:cs="仿宋"/>
          <w:sz w:val="28"/>
          <w:szCs w:val="28"/>
        </w:rPr>
      </w:pPr>
      <w:r>
        <w:rPr>
          <w:rFonts w:hint="eastAsia" w:ascii="仿宋" w:hAnsi="仿宋" w:eastAsia="仿宋" w:cs="仿宋"/>
          <w:sz w:val="28"/>
          <w:szCs w:val="28"/>
        </w:rPr>
        <w:t>地址：</w:t>
      </w:r>
    </w:p>
    <w:p>
      <w:pPr>
        <w:rPr>
          <w:rFonts w:hint="eastAsia" w:ascii="仿宋" w:hAnsi="仿宋" w:eastAsia="仿宋" w:cs="仿宋"/>
          <w:sz w:val="28"/>
          <w:szCs w:val="28"/>
        </w:rPr>
      </w:pPr>
      <w:r>
        <w:rPr>
          <w:rFonts w:hint="eastAsia" w:ascii="仿宋" w:hAnsi="仿宋" w:eastAsia="仿宋" w:cs="仿宋"/>
          <w:sz w:val="28"/>
          <w:szCs w:val="28"/>
        </w:rPr>
        <w:t>电话：             传真：</w:t>
      </w:r>
    </w:p>
    <w:p>
      <w:pPr>
        <w:rPr>
          <w:rFonts w:hint="eastAsia" w:ascii="仿宋" w:hAnsi="仿宋" w:eastAsia="仿宋" w:cs="仿宋"/>
          <w:sz w:val="28"/>
          <w:szCs w:val="28"/>
        </w:rPr>
      </w:pPr>
      <w:r>
        <w:rPr>
          <w:rFonts w:hint="eastAsia" w:ascii="仿宋" w:hAnsi="仿宋" w:eastAsia="仿宋" w:cs="仿宋"/>
          <w:sz w:val="28"/>
          <w:szCs w:val="28"/>
        </w:rPr>
        <w:t>联系人：</w:t>
      </w:r>
    </w:p>
    <w:p>
      <w:pPr>
        <w:rPr>
          <w:rFonts w:hint="eastAsia" w:ascii="仿宋" w:hAnsi="仿宋" w:eastAsia="仿宋" w:cs="仿宋"/>
          <w:sz w:val="28"/>
          <w:szCs w:val="28"/>
        </w:rPr>
      </w:pPr>
      <w:r>
        <w:rPr>
          <w:rFonts w:hint="eastAsia" w:ascii="仿宋" w:hAnsi="仿宋" w:eastAsia="仿宋" w:cs="仿宋"/>
          <w:sz w:val="28"/>
          <w:szCs w:val="28"/>
        </w:rPr>
        <w:t xml:space="preserve">乙方：    </w:t>
      </w:r>
    </w:p>
    <w:p>
      <w:pPr>
        <w:rPr>
          <w:rFonts w:hint="eastAsia" w:ascii="仿宋" w:hAnsi="仿宋" w:eastAsia="仿宋" w:cs="仿宋"/>
          <w:sz w:val="28"/>
          <w:szCs w:val="28"/>
        </w:rPr>
      </w:pPr>
      <w:r>
        <w:rPr>
          <w:rFonts w:hint="eastAsia" w:ascii="仿宋" w:hAnsi="仿宋" w:eastAsia="仿宋" w:cs="仿宋"/>
          <w:sz w:val="28"/>
          <w:szCs w:val="28"/>
        </w:rPr>
        <w:t>地址：</w:t>
      </w:r>
    </w:p>
    <w:p>
      <w:pPr>
        <w:rPr>
          <w:rFonts w:hint="eastAsia" w:ascii="仿宋" w:hAnsi="仿宋" w:eastAsia="仿宋" w:cs="仿宋"/>
          <w:sz w:val="28"/>
          <w:szCs w:val="28"/>
        </w:rPr>
      </w:pPr>
      <w:r>
        <w:rPr>
          <w:rFonts w:hint="eastAsia" w:ascii="仿宋" w:hAnsi="仿宋" w:eastAsia="仿宋" w:cs="仿宋"/>
          <w:sz w:val="28"/>
          <w:szCs w:val="28"/>
        </w:rPr>
        <w:t>电话：                   传真：</w:t>
      </w:r>
    </w:p>
    <w:p>
      <w:pPr>
        <w:rPr>
          <w:rFonts w:hint="eastAsia" w:ascii="仿宋" w:hAnsi="仿宋" w:eastAsia="仿宋" w:cs="仿宋"/>
          <w:sz w:val="28"/>
          <w:szCs w:val="28"/>
        </w:rPr>
      </w:pPr>
      <w:r>
        <w:rPr>
          <w:rFonts w:hint="eastAsia" w:ascii="仿宋" w:hAnsi="仿宋" w:eastAsia="仿宋" w:cs="仿宋"/>
          <w:sz w:val="28"/>
          <w:szCs w:val="28"/>
        </w:rPr>
        <w:t xml:space="preserve">联系人： </w:t>
      </w:r>
    </w:p>
    <w:p>
      <w:pPr>
        <w:rPr>
          <w:rFonts w:hint="eastAsia" w:ascii="仿宋" w:hAnsi="仿宋" w:eastAsia="仿宋" w:cs="仿宋"/>
          <w:sz w:val="28"/>
          <w:szCs w:val="28"/>
        </w:rPr>
      </w:pPr>
      <w:r>
        <w:rPr>
          <w:rFonts w:hint="eastAsia" w:ascii="仿宋" w:hAnsi="仿宋" w:eastAsia="仿宋" w:cs="仿宋"/>
          <w:sz w:val="28"/>
          <w:szCs w:val="28"/>
        </w:rPr>
        <w:t>任何一方将函件送达至上述地址的即视为送达。任何一方变更上述地址的应书面通知本协议的另一方，书面通知中的变更地址为新的通信地址。</w:t>
      </w:r>
    </w:p>
    <w:p>
      <w:pPr>
        <w:rPr>
          <w:rFonts w:hint="eastAsia" w:ascii="仿宋" w:hAnsi="仿宋" w:eastAsia="仿宋" w:cs="仿宋"/>
          <w:sz w:val="28"/>
          <w:szCs w:val="28"/>
        </w:rPr>
      </w:pPr>
      <w:r>
        <w:rPr>
          <w:rFonts w:hint="eastAsia" w:ascii="仿宋" w:hAnsi="仿宋" w:eastAsia="仿宋" w:cs="仿宋"/>
          <w:sz w:val="28"/>
          <w:szCs w:val="28"/>
        </w:rPr>
        <w:t>4、本合同一式</w:t>
      </w:r>
      <w:r>
        <w:rPr>
          <w:rFonts w:hint="eastAsia" w:ascii="仿宋" w:hAnsi="仿宋" w:eastAsia="仿宋" w:cs="仿宋"/>
          <w:sz w:val="28"/>
          <w:szCs w:val="28"/>
          <w:lang w:val="en-US" w:eastAsia="zh-CN"/>
        </w:rPr>
        <w:t>肆</w:t>
      </w:r>
      <w:r>
        <w:rPr>
          <w:rFonts w:hint="eastAsia" w:ascii="仿宋" w:hAnsi="仿宋" w:eastAsia="仿宋" w:cs="仿宋"/>
          <w:sz w:val="28"/>
          <w:szCs w:val="28"/>
        </w:rPr>
        <w:t>份，甲方</w:t>
      </w:r>
      <w:r>
        <w:rPr>
          <w:rFonts w:hint="eastAsia" w:ascii="仿宋" w:hAnsi="仿宋" w:eastAsia="仿宋" w:cs="仿宋"/>
          <w:sz w:val="28"/>
          <w:szCs w:val="28"/>
          <w:lang w:val="en-US" w:eastAsia="zh-CN"/>
        </w:rPr>
        <w:t>贰</w:t>
      </w:r>
      <w:r>
        <w:rPr>
          <w:rFonts w:hint="eastAsia" w:ascii="仿宋" w:hAnsi="仿宋" w:eastAsia="仿宋" w:cs="仿宋"/>
          <w:sz w:val="28"/>
          <w:szCs w:val="28"/>
        </w:rPr>
        <w:t>份，乙方贰份，均具同等法律效力。</w:t>
      </w:r>
    </w:p>
    <w:p>
      <w:pPr>
        <w:rPr>
          <w:rFonts w:hint="eastAsia" w:ascii="仿宋" w:hAnsi="仿宋" w:eastAsia="仿宋" w:cs="仿宋"/>
          <w:sz w:val="28"/>
          <w:szCs w:val="28"/>
        </w:rPr>
      </w:pPr>
      <w:r>
        <w:rPr>
          <w:rFonts w:hint="eastAsia" w:ascii="仿宋" w:hAnsi="仿宋" w:eastAsia="仿宋" w:cs="仿宋"/>
          <w:sz w:val="28"/>
          <w:szCs w:val="28"/>
        </w:rPr>
        <w:t>5、本合同自甲、乙双方签字盖章之日起生效。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甲方 ：                               乙方：</w:t>
      </w:r>
    </w:p>
    <w:p>
      <w:pPr>
        <w:rPr>
          <w:rFonts w:hint="eastAsia" w:ascii="仿宋" w:hAnsi="仿宋" w:eastAsia="仿宋" w:cs="仿宋"/>
          <w:sz w:val="28"/>
          <w:szCs w:val="28"/>
        </w:rPr>
      </w:pPr>
      <w:r>
        <w:rPr>
          <w:rFonts w:hint="eastAsia" w:ascii="仿宋" w:hAnsi="仿宋" w:eastAsia="仿宋" w:cs="仿宋"/>
          <w:sz w:val="28"/>
          <w:szCs w:val="28"/>
        </w:rPr>
        <w:t>(盖章)                                 (盖章)</w:t>
      </w:r>
    </w:p>
    <w:p>
      <w:pPr>
        <w:rPr>
          <w:rFonts w:hint="eastAsia" w:ascii="仿宋" w:hAnsi="仿宋" w:eastAsia="仿宋" w:cs="仿宋"/>
          <w:sz w:val="28"/>
          <w:szCs w:val="28"/>
        </w:rPr>
      </w:pPr>
      <w:r>
        <w:rPr>
          <w:rFonts w:hint="eastAsia" w:ascii="仿宋" w:hAnsi="仿宋" w:eastAsia="仿宋" w:cs="仿宋"/>
          <w:sz w:val="28"/>
          <w:szCs w:val="28"/>
        </w:rPr>
        <w:t>法定代表人：                           法定代表人：</w:t>
      </w:r>
    </w:p>
    <w:p>
      <w:pPr>
        <w:rPr>
          <w:rFonts w:hint="eastAsia" w:ascii="仿宋" w:hAnsi="仿宋" w:eastAsia="仿宋" w:cs="仿宋"/>
          <w:sz w:val="28"/>
          <w:szCs w:val="28"/>
        </w:rPr>
      </w:pPr>
      <w:r>
        <w:rPr>
          <w:rFonts w:hint="eastAsia" w:ascii="仿宋" w:hAnsi="仿宋" w:eastAsia="仿宋" w:cs="仿宋"/>
          <w:sz w:val="28"/>
          <w:szCs w:val="28"/>
        </w:rPr>
        <w:t>签约代表人：                           签约代表人：</w:t>
      </w:r>
    </w:p>
    <w:p>
      <w:pPr>
        <w:rPr>
          <w:rFonts w:ascii="仿宋" w:hAnsi="仿宋" w:eastAsia="仿宋" w:cs="仿宋"/>
          <w:kern w:val="0"/>
          <w:sz w:val="28"/>
          <w:szCs w:val="28"/>
        </w:rPr>
      </w:pPr>
      <w:r>
        <w:rPr>
          <w:rFonts w:hint="eastAsia" w:ascii="仿宋" w:hAnsi="仿宋" w:eastAsia="仿宋" w:cs="仿宋"/>
          <w:sz w:val="28"/>
          <w:szCs w:val="28"/>
        </w:rPr>
        <w:t>日期：20     年   月   日             日期：20   年   月   日</w:t>
      </w:r>
    </w:p>
    <w:p>
      <w:pPr>
        <w:pStyle w:val="2"/>
        <w:ind w:left="0" w:firstLine="0"/>
        <w:rPr>
          <w:rFonts w:ascii="仿宋" w:hAnsi="仿宋" w:eastAsia="仿宋" w:cs="仿宋"/>
          <w:kern w:val="0"/>
          <w:sz w:val="28"/>
          <w:szCs w:val="28"/>
        </w:rPr>
      </w:pPr>
      <w:r>
        <w:rPr>
          <w:rFonts w:hint="eastAsia" w:ascii="仿宋" w:hAnsi="仿宋" w:eastAsia="仿宋" w:cs="仿宋"/>
          <w:kern w:val="0"/>
          <w:sz w:val="28"/>
          <w:szCs w:val="28"/>
        </w:rPr>
        <w:t>附件：禧悦府项目停车场及导视围挡物料清单报价表</w:t>
      </w:r>
    </w:p>
    <w:tbl>
      <w:tblPr>
        <w:tblStyle w:val="14"/>
        <w:tblW w:w="633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065"/>
        <w:gridCol w:w="1397"/>
        <w:gridCol w:w="2763"/>
        <w:gridCol w:w="775"/>
        <w:gridCol w:w="791"/>
        <w:gridCol w:w="1078"/>
        <w:gridCol w:w="1245"/>
        <w:gridCol w:w="1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序号</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事项</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规格</w:t>
            </w:r>
          </w:p>
        </w:tc>
        <w:tc>
          <w:tcPr>
            <w:tcW w:w="1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材质</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数量</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单位</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不含税单价（元）</w:t>
            </w:r>
          </w:p>
        </w:tc>
        <w:tc>
          <w:tcPr>
            <w:tcW w:w="5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不含税总价（元）</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一.销售中心前段围挡: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销售中心前段围挡绿植墙美化</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16.5*3.2米+47*3.2米+50.2*4米</w:t>
            </w:r>
          </w:p>
        </w:tc>
        <w:tc>
          <w:tcPr>
            <w:tcW w:w="1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用仿真草皮打底，面上装饰高仿真绿植墙材料（葵叶和麻松组合仿真叶，深色茶树叶，乌槽蕨叶浅色）3种颜色搭配安装</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404</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销售中心左侧围挡发光立体字制作</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文字高70CM*22字，logo宽400CM*高90CM*2组，箭头高300CM*宽150CM*2组</w:t>
            </w:r>
          </w:p>
        </w:tc>
        <w:tc>
          <w:tcPr>
            <w:tcW w:w="1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箭头和立体文字都采用：1.5MM厚不锈钢电镀香槟金色围边立体字，背面垫2CM厚磨砂有机发光，内藏LED灯珠，4500K暖白色光，用螺杆固定安装</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4740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CM</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项目路口至销售中心段的围挡发光立体字制作</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文字高80CM*30字，logo宽450CM*高100CM*2组，箭头高400CM*宽170CM*2组</w:t>
            </w:r>
          </w:p>
        </w:tc>
        <w:tc>
          <w:tcPr>
            <w:tcW w:w="1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箭头和立体文字都采用：1.5MM厚不锈钢电镀香槟金色围边立体字，背面垫2CM厚磨砂有机发光，内藏LED灯珠，4500K暖白色光，用螺杆固定安装</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6500</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CM</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布电</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16"/>
                <w:szCs w:val="16"/>
                <w:u w:val="none"/>
              </w:rPr>
            </w:pPr>
          </w:p>
        </w:tc>
        <w:tc>
          <w:tcPr>
            <w:tcW w:w="1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主线用3*6平方主线套户外线管，配户外电箱（时控开关，漏电开光，接触器等设备），总长200米</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项</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3943" w:type="pct"/>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二.停车场围挡：</w:t>
            </w:r>
          </w:p>
        </w:tc>
        <w:tc>
          <w:tcPr>
            <w:tcW w:w="576" w:type="pct"/>
            <w:tcBorders>
              <w:top w:val="nil"/>
              <w:left w:val="nil"/>
              <w:bottom w:val="nil"/>
              <w:right w:val="nil"/>
            </w:tcBorders>
            <w:shd w:val="clear" w:color="auto" w:fill="FFFFFF"/>
            <w:vAlign w:val="center"/>
          </w:tcPr>
          <w:p>
            <w:pPr>
              <w:jc w:val="center"/>
              <w:rPr>
                <w:rFonts w:hint="eastAsia" w:ascii="微软雅黑" w:hAnsi="微软雅黑" w:eastAsia="微软雅黑" w:cs="微软雅黑"/>
                <w:i w:val="0"/>
                <w:iCs w:val="0"/>
                <w:color w:val="000000"/>
                <w:sz w:val="16"/>
                <w:szCs w:val="16"/>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停车场围挡仿真草皮</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总长54米*高4米，长12米*高5米</w:t>
            </w:r>
          </w:p>
        </w:tc>
        <w:tc>
          <w:tcPr>
            <w:tcW w:w="1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用3CM厚三色加密仿真草皮（夏草）</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276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2</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停车场围挡部分装饰仿真绿植墙</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宽1.5米*高4米*7条，宽1.5米*高5米*1条</w:t>
            </w:r>
          </w:p>
        </w:tc>
        <w:tc>
          <w:tcPr>
            <w:tcW w:w="1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用仿真草皮打底，面上装饰高仿真绿植墙材料（葵叶和麻松组合仿真叶，深色茶树叶，乌槽蕨叶浅色）3种颜色搭配安装</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49.5</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销售中心围挡装饰条制作</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高400CM*宽10CM*14条，高500CM*宽10CM*2条</w:t>
            </w:r>
          </w:p>
        </w:tc>
        <w:tc>
          <w:tcPr>
            <w:tcW w:w="12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采用：1.5MM厚不锈钢电镀香槟金色围边立体装饰条，围边厚度6CM</w:t>
            </w:r>
          </w:p>
        </w:tc>
        <w:tc>
          <w:tcPr>
            <w:tcW w:w="35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66</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color w:val="000000"/>
                <w:kern w:val="0"/>
                <w:sz w:val="16"/>
                <w:szCs w:val="16"/>
                <w:u w:val="none"/>
                <w:lang w:val="en-US" w:eastAsia="zh-CN" w:bidi="ar"/>
              </w:rPr>
              <w:t>米</w:t>
            </w:r>
          </w:p>
        </w:tc>
        <w:tc>
          <w:tcPr>
            <w:tcW w:w="4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4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合计金额：</w:t>
            </w:r>
          </w:p>
        </w:tc>
        <w:tc>
          <w:tcPr>
            <w:tcW w:w="57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p>
        </w:tc>
        <w:tc>
          <w:tcPr>
            <w:tcW w:w="480"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4</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税收</w:t>
            </w:r>
          </w:p>
        </w:tc>
        <w:tc>
          <w:tcPr>
            <w:tcW w:w="315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lang w:val="en-US" w:eastAsia="zh-CN" w:bidi="ar"/>
              </w:rPr>
              <w:t>增值税专票  %</w:t>
            </w:r>
          </w:p>
        </w:tc>
        <w:tc>
          <w:tcPr>
            <w:tcW w:w="57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p>
        </w:tc>
        <w:tc>
          <w:tcPr>
            <w:tcW w:w="480"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94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lang w:val="en-US" w:eastAsia="zh-CN" w:bidi="ar"/>
              </w:rPr>
              <w:t>合计总金额：</w:t>
            </w:r>
          </w:p>
        </w:tc>
        <w:tc>
          <w:tcPr>
            <w:tcW w:w="57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6"/>
                <w:szCs w:val="16"/>
                <w:u w:val="none"/>
              </w:rPr>
            </w:pPr>
          </w:p>
        </w:tc>
      </w:tr>
    </w:tbl>
    <w:p>
      <w:pPr>
        <w:pStyle w:val="2"/>
        <w:ind w:left="0" w:firstLine="0"/>
        <w:rPr>
          <w:rFonts w:ascii="仿宋" w:hAnsi="仿宋" w:eastAsia="仿宋" w:cs="仿宋"/>
          <w:kern w:val="0"/>
          <w:sz w:val="28"/>
          <w:szCs w:val="28"/>
        </w:rPr>
      </w:pPr>
    </w:p>
    <w:p>
      <w:pPr>
        <w:pStyle w:val="2"/>
        <w:ind w:left="0" w:firstLine="0"/>
        <w:rPr>
          <w:rFonts w:hint="eastAsia" w:ascii="仿宋" w:hAnsi="仿宋" w:eastAsia="仿宋" w:cs="仿宋"/>
          <w:kern w:val="0"/>
          <w:sz w:val="28"/>
          <w:szCs w:val="28"/>
        </w:rPr>
      </w:pPr>
    </w:p>
    <w:p>
      <w:pPr>
        <w:pStyle w:val="6"/>
        <w:spacing w:line="240" w:lineRule="auto"/>
        <w:jc w:val="center"/>
      </w:pPr>
      <w:r>
        <w:rPr>
          <w:rFonts w:hint="eastAsia" w:ascii="仿宋_GB2312" w:hAnsi="宋体" w:eastAsia="仿宋_GB2312" w:cs="宋体"/>
        </w:rPr>
        <w:t>六、竞投文件格式（竞投人提交）</w:t>
      </w:r>
    </w:p>
    <w:p>
      <w:pPr>
        <w:pStyle w:val="6"/>
        <w:spacing w:line="240" w:lineRule="auto"/>
        <w:rPr>
          <w:rFonts w:ascii="仿宋_GB2312" w:eastAsia="仿宋_GB2312"/>
          <w:sz w:val="28"/>
          <w:szCs w:val="28"/>
        </w:rPr>
      </w:pPr>
      <w:r>
        <w:rPr>
          <w:rFonts w:hint="eastAsia" w:ascii="仿宋_GB2312" w:eastAsia="仿宋_GB2312"/>
          <w:b w:val="0"/>
          <w:sz w:val="24"/>
          <w:szCs w:val="24"/>
        </w:rPr>
        <w:t xml:space="preserve">附件1：竞投文件封面  </w:t>
      </w:r>
      <w:r>
        <w:rPr>
          <w:rFonts w:hint="eastAsia" w:ascii="仿宋_GB2312" w:eastAsia="仿宋_GB2312"/>
          <w:sz w:val="28"/>
          <w:szCs w:val="28"/>
        </w:rPr>
        <w:t xml:space="preserve">              </w:t>
      </w:r>
    </w:p>
    <w:p>
      <w:pPr>
        <w:widowControl/>
        <w:spacing w:line="440" w:lineRule="exact"/>
        <w:rPr>
          <w:rFonts w:ascii="仿宋_GB2312" w:eastAsia="仿宋_GB2312"/>
          <w:b/>
          <w:sz w:val="28"/>
          <w:szCs w:val="28"/>
        </w:rPr>
      </w:pPr>
    </w:p>
    <w:p/>
    <w:p>
      <w:pPr>
        <w:rPr>
          <w:sz w:val="72"/>
          <w:szCs w:val="72"/>
        </w:rPr>
      </w:pPr>
    </w:p>
    <w:p>
      <w:pPr>
        <w:jc w:val="center"/>
        <w:rPr>
          <w:rFonts w:ascii="仿宋_GB2312" w:eastAsia="仿宋_GB2312"/>
          <w:sz w:val="52"/>
          <w:szCs w:val="52"/>
          <w:u w:val="single"/>
        </w:rPr>
      </w:pPr>
      <w:r>
        <w:rPr>
          <w:rFonts w:hint="eastAsia" w:ascii="仿宋_GB2312" w:eastAsia="仿宋_GB2312"/>
          <w:b/>
          <w:sz w:val="52"/>
          <w:szCs w:val="52"/>
        </w:rPr>
        <w:t>禧悦府项目</w:t>
      </w:r>
      <w:r>
        <w:rPr>
          <w:rFonts w:hint="eastAsia" w:ascii="仿宋_GB2312" w:eastAsia="仿宋_GB2312"/>
          <w:b/>
          <w:sz w:val="52"/>
          <w:szCs w:val="52"/>
          <w:lang w:eastAsia="zh-CN"/>
        </w:rPr>
        <w:t>停车场及导视围挡物料制作</w:t>
      </w:r>
      <w:r>
        <w:rPr>
          <w:rFonts w:hint="eastAsia" w:ascii="仿宋_GB2312" w:eastAsia="仿宋_GB2312"/>
          <w:b/>
          <w:sz w:val="52"/>
          <w:szCs w:val="52"/>
        </w:rPr>
        <w:t>服务项目</w:t>
      </w:r>
    </w:p>
    <w:p>
      <w:pPr>
        <w:jc w:val="center"/>
        <w:rPr>
          <w:rFonts w:ascii="仿宋_GB2312" w:eastAsia="仿宋_GB2312"/>
          <w:b/>
          <w:sz w:val="90"/>
          <w:szCs w:val="90"/>
        </w:rPr>
      </w:pPr>
      <w:r>
        <w:rPr>
          <w:rFonts w:hint="eastAsia" w:ascii="仿宋_GB2312" w:eastAsia="仿宋_GB2312"/>
          <w:b/>
          <w:sz w:val="90"/>
          <w:szCs w:val="90"/>
        </w:rPr>
        <w:t>竞投文件</w:t>
      </w: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jc w:val="center"/>
        <w:rPr>
          <w:rFonts w:ascii="仿宋_GB2312" w:eastAsia="仿宋_GB2312"/>
          <w:sz w:val="72"/>
          <w:szCs w:val="72"/>
        </w:rPr>
      </w:pPr>
    </w:p>
    <w:p>
      <w:pPr>
        <w:ind w:firstLine="2560" w:firstLineChars="800"/>
        <w:rPr>
          <w:rFonts w:ascii="仿宋_GB2312" w:eastAsia="仿宋_GB2312"/>
          <w:sz w:val="32"/>
          <w:szCs w:val="32"/>
          <w:u w:val="single"/>
        </w:rPr>
      </w:pPr>
      <w:r>
        <w:rPr>
          <w:rFonts w:hint="eastAsia" w:ascii="仿宋_GB2312" w:eastAsia="仿宋_GB2312"/>
          <w:sz w:val="32"/>
          <w:szCs w:val="32"/>
        </w:rPr>
        <w:t>竞投单位：</w:t>
      </w:r>
    </w:p>
    <w:p>
      <w:pPr>
        <w:ind w:firstLine="2560" w:firstLineChars="800"/>
        <w:rPr>
          <w:rFonts w:ascii="仿宋_GB2312" w:eastAsia="仿宋_GB2312"/>
          <w:sz w:val="32"/>
          <w:szCs w:val="32"/>
        </w:rPr>
      </w:pPr>
      <w:r>
        <w:rPr>
          <w:rFonts w:hint="eastAsia" w:ascii="仿宋_GB2312" w:eastAsia="仿宋_GB2312"/>
          <w:sz w:val="32"/>
          <w:szCs w:val="32"/>
        </w:rPr>
        <w:t>竞投日期：202</w:t>
      </w:r>
      <w:r>
        <w:rPr>
          <w:rFonts w:hint="eastAsia" w:ascii="仿宋_GB2312" w:eastAsia="仿宋_GB2312"/>
          <w:sz w:val="32"/>
          <w:szCs w:val="32"/>
          <w:lang w:val="en-US" w:eastAsia="zh-CN"/>
        </w:rPr>
        <w:t>2</w:t>
      </w:r>
      <w:r>
        <w:rPr>
          <w:rFonts w:hint="eastAsia" w:ascii="仿宋_GB2312" w:eastAsia="仿宋_GB2312"/>
          <w:sz w:val="32"/>
          <w:szCs w:val="32"/>
        </w:rPr>
        <w:t>年  月  日</w:t>
      </w:r>
    </w:p>
    <w:p>
      <w:pPr>
        <w:pStyle w:val="6"/>
        <w:spacing w:line="240" w:lineRule="auto"/>
        <w:rPr>
          <w:rFonts w:ascii="仿宋_GB2312" w:eastAsia="仿宋_GB2312"/>
          <w:b w:val="0"/>
          <w:sz w:val="28"/>
          <w:szCs w:val="28"/>
        </w:rPr>
      </w:pPr>
      <w:r>
        <w:rPr>
          <w:rFonts w:ascii="仿宋_GB2312" w:eastAsia="仿宋_GB2312"/>
          <w:b w:val="0"/>
          <w:sz w:val="28"/>
          <w:szCs w:val="28"/>
        </w:rPr>
        <w:br w:type="page"/>
      </w:r>
      <w:r>
        <w:rPr>
          <w:rFonts w:hint="eastAsia" w:ascii="仿宋_GB2312" w:eastAsia="仿宋_GB2312"/>
          <w:b w:val="0"/>
          <w:sz w:val="24"/>
          <w:szCs w:val="24"/>
        </w:rPr>
        <w:t>附件2：竞投函</w:t>
      </w:r>
    </w:p>
    <w:p>
      <w:pPr>
        <w:pStyle w:val="6"/>
        <w:spacing w:line="240" w:lineRule="auto"/>
        <w:jc w:val="center"/>
        <w:rPr>
          <w:rFonts w:ascii="仿宋_GB2312" w:hAnsi="宋体" w:eastAsia="仿宋_GB2312" w:cs="宋体"/>
          <w:sz w:val="30"/>
          <w:szCs w:val="30"/>
        </w:rPr>
      </w:pPr>
      <w:r>
        <w:rPr>
          <w:rFonts w:hint="eastAsia" w:ascii="仿宋_GB2312" w:hAnsi="宋体" w:eastAsia="仿宋_GB2312" w:cs="宋体"/>
          <w:sz w:val="30"/>
          <w:szCs w:val="30"/>
        </w:rPr>
        <w:t>竞投函</w:t>
      </w:r>
    </w:p>
    <w:p>
      <w:pPr>
        <w:spacing w:line="360" w:lineRule="auto"/>
        <w:rPr>
          <w:rFonts w:ascii="仿宋_GB2312" w:hAnsi="宋体" w:eastAsia="仿宋_GB2312"/>
          <w:b/>
          <w:bCs/>
          <w:sz w:val="24"/>
        </w:rPr>
      </w:pPr>
      <w:r>
        <w:rPr>
          <w:rFonts w:hint="eastAsia" w:ascii="仿宋_GB2312" w:hAnsi="宋体" w:eastAsia="仿宋_GB2312"/>
          <w:b/>
          <w:bCs/>
          <w:sz w:val="24"/>
        </w:rPr>
        <w:t xml:space="preserve">致: </w:t>
      </w:r>
      <w:r>
        <w:rPr>
          <w:rFonts w:hint="eastAsia" w:ascii="仿宋_GB2312" w:hAnsi="宋体" w:eastAsia="仿宋_GB2312" w:cs="宋体"/>
          <w:b/>
          <w:bCs/>
          <w:color w:val="333333"/>
          <w:kern w:val="0"/>
          <w:sz w:val="24"/>
        </w:rPr>
        <w:t>广州市城壹房地产顾问有限公司（采购人）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根据你方采购项目</w:t>
      </w:r>
      <w:r>
        <w:rPr>
          <w:rFonts w:hint="eastAsia" w:ascii="仿宋_GB2312" w:hAnsi="宋体" w:eastAsia="仿宋_GB2312"/>
          <w:sz w:val="24"/>
          <w:u w:val="single"/>
        </w:rPr>
        <w:t xml:space="preserve">                            </w:t>
      </w:r>
      <w:r>
        <w:rPr>
          <w:rFonts w:hint="eastAsia" w:ascii="仿宋_GB2312" w:hAnsi="宋体" w:eastAsia="仿宋_GB2312"/>
          <w:sz w:val="24"/>
        </w:rPr>
        <w:t>的竞选采购文件要求，我方在此声明并同意：</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我方愿意遵守采购文件的各项规定，按采购文件的要求提供各项资料及报价。</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我方已经详细地阅读了全部采购文件及附件，包括澄清及参考文件（如果有的话），我方完全清晰理解采购文件的要求，不存在任何含糊不清和误解之处，同意放弃对这些文件提出异议和质疑的权利。</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我方完全接受该项目采购文件中关于竞投的规定，并同意放弃对这规定提出异议和质疑的权利。</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我方同意提供采购文件要求的有关竞投的其它资料。</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我方承诺在本次竞投中提供的一切文件，无论是原件或是复印件均为真实和准确的，绝无任何虚假、伪造和夸大的成份。否则，我方愿意承担相应的后果和法律责任。</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我方完全理解，采购人并无义务必须接受最低报价的竞投或其它任何竞投。</w:t>
      </w:r>
    </w:p>
    <w:p>
      <w:pPr>
        <w:numPr>
          <w:ilvl w:val="0"/>
          <w:numId w:val="6"/>
        </w:numPr>
        <w:spacing w:line="360" w:lineRule="auto"/>
        <w:ind w:left="0" w:firstLine="425"/>
        <w:rPr>
          <w:rFonts w:ascii="仿宋_GB2312" w:hAnsi="宋体" w:eastAsia="仿宋_GB2312"/>
          <w:sz w:val="24"/>
        </w:rPr>
      </w:pPr>
      <w:r>
        <w:rPr>
          <w:rFonts w:hint="eastAsia" w:ascii="仿宋_GB2312" w:hAnsi="宋体" w:eastAsia="仿宋_GB2312"/>
          <w:sz w:val="24"/>
        </w:rPr>
        <w:t>如我方的竞投条件被接受，我方同意按照采购文件相关规定签署合同。</w:t>
      </w: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r>
        <w:rPr>
          <w:rFonts w:hint="eastAsia" w:ascii="仿宋_GB2312" w:hAnsi="宋体" w:eastAsia="仿宋_GB2312"/>
          <w:bCs/>
          <w:sz w:val="24"/>
        </w:rPr>
        <w:t>竞投人全称（加盖公章）:</w:t>
      </w:r>
    </w:p>
    <w:p>
      <w:pPr>
        <w:tabs>
          <w:tab w:val="left" w:pos="3600"/>
        </w:tabs>
        <w:spacing w:line="440" w:lineRule="exact"/>
        <w:rPr>
          <w:rFonts w:ascii="仿宋_GB2312" w:hAnsi="宋体" w:eastAsia="仿宋_GB2312"/>
          <w:bCs/>
          <w:sz w:val="24"/>
        </w:rPr>
      </w:pPr>
      <w:r>
        <w:rPr>
          <w:rFonts w:hint="eastAsia" w:ascii="仿宋_GB2312" w:hAnsi="宋体" w:eastAsia="仿宋_GB2312"/>
          <w:bCs/>
          <w:sz w:val="24"/>
        </w:rPr>
        <w:t>法定代表人或其竞投人授权代表(</w:t>
      </w:r>
      <w:r>
        <w:rPr>
          <w:rFonts w:hint="eastAsia" w:ascii="仿宋_GB2312" w:hAnsi="宋体" w:eastAsia="仿宋_GB2312"/>
          <w:sz w:val="24"/>
        </w:rPr>
        <w:t>签字</w:t>
      </w:r>
      <w:r>
        <w:rPr>
          <w:rFonts w:hint="eastAsia" w:ascii="仿宋_GB2312" w:hAnsi="宋体" w:eastAsia="仿宋_GB2312"/>
          <w:bCs/>
          <w:sz w:val="24"/>
        </w:rPr>
        <w:t>)：</w:t>
      </w:r>
    </w:p>
    <w:p>
      <w:pPr>
        <w:spacing w:before="120" w:after="120" w:line="440" w:lineRule="exact"/>
        <w:rPr>
          <w:rFonts w:ascii="仿宋_GB2312" w:hAnsi="宋体" w:eastAsia="仿宋_GB2312"/>
          <w:bCs/>
          <w:sz w:val="24"/>
        </w:rPr>
      </w:pPr>
      <w:r>
        <w:rPr>
          <w:rFonts w:hint="eastAsia" w:ascii="仿宋_GB2312" w:hAnsi="宋体" w:eastAsia="仿宋_GB2312"/>
          <w:bCs/>
          <w:sz w:val="24"/>
        </w:rPr>
        <w:t>日    期：         年      月     日</w:t>
      </w:r>
    </w:p>
    <w:p>
      <w:pPr>
        <w:pStyle w:val="6"/>
        <w:rPr>
          <w:rFonts w:ascii="仿宋_GB2312" w:hAnsi="宋体" w:eastAsia="仿宋_GB2312"/>
          <w:b w:val="0"/>
          <w:sz w:val="21"/>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hAnsi="宋体" w:eastAsia="仿宋_GB2312"/>
          <w:b/>
          <w:szCs w:val="21"/>
        </w:rPr>
      </w:pPr>
    </w:p>
    <w:p>
      <w:pPr>
        <w:rPr>
          <w:rFonts w:ascii="仿宋_GB2312" w:eastAsia="仿宋_GB2312"/>
        </w:rPr>
      </w:pPr>
    </w:p>
    <w:p>
      <w:pPr>
        <w:pStyle w:val="6"/>
        <w:spacing w:after="20"/>
        <w:rPr>
          <w:rFonts w:ascii="仿宋_GB2312" w:eastAsia="仿宋_GB2312"/>
          <w:sz w:val="28"/>
          <w:szCs w:val="28"/>
        </w:rPr>
      </w:pPr>
      <w:r>
        <w:rPr>
          <w:rFonts w:hint="eastAsia" w:ascii="仿宋_GB2312" w:eastAsia="仿宋_GB2312"/>
          <w:b w:val="0"/>
          <w:sz w:val="24"/>
          <w:szCs w:val="24"/>
        </w:rPr>
        <w:t>附件3：法定代表人证明及授权书[格式]</w:t>
      </w:r>
    </w:p>
    <w:p>
      <w:pPr>
        <w:pStyle w:val="6"/>
        <w:jc w:val="center"/>
        <w:rPr>
          <w:rFonts w:ascii="仿宋_GB2312" w:hAnsi="宋体" w:eastAsia="仿宋_GB2312" w:cs="宋体"/>
          <w:b w:val="0"/>
          <w:bCs w:val="0"/>
          <w:color w:val="000000"/>
        </w:rPr>
      </w:pPr>
      <w:r>
        <w:rPr>
          <w:rFonts w:hint="eastAsia" w:ascii="仿宋_GB2312" w:hAnsi="宋体" w:eastAsia="仿宋_GB2312" w:cs="宋体"/>
        </w:rPr>
        <w:t>法定代表人证明及授权书</w:t>
      </w:r>
    </w:p>
    <w:p>
      <w:pPr>
        <w:pStyle w:val="9"/>
        <w:spacing w:line="300" w:lineRule="auto"/>
        <w:ind w:firstLine="0"/>
        <w:rPr>
          <w:rFonts w:ascii="仿宋_GB2312" w:hAnsi="宋体" w:eastAsia="仿宋_GB2312" w:cs="宋体"/>
          <w:bCs/>
          <w:color w:val="333333"/>
          <w:kern w:val="0"/>
          <w:szCs w:val="21"/>
        </w:rPr>
      </w:pPr>
      <w:r>
        <w:rPr>
          <w:rFonts w:hint="eastAsia" w:ascii="仿宋_GB2312" w:hAnsi="宋体" w:eastAsia="仿宋_GB2312" w:cs="宋体"/>
          <w:bCs/>
          <w:color w:val="333333"/>
          <w:kern w:val="0"/>
          <w:szCs w:val="21"/>
        </w:rPr>
        <w:t>致: 广州市城壹房地产顾问有限公司</w:t>
      </w:r>
      <w:r>
        <w:rPr>
          <w:rFonts w:hint="eastAsia" w:ascii="仿宋_GB2312" w:hAnsi="宋体" w:eastAsia="仿宋_GB2312" w:cs="宋体"/>
          <w:bCs/>
          <w:color w:val="333333"/>
          <w:kern w:val="0"/>
          <w:szCs w:val="21"/>
        </w:rPr>
        <w:tab/>
      </w:r>
    </w:p>
    <w:p>
      <w:pPr>
        <w:pStyle w:val="9"/>
        <w:spacing w:line="300" w:lineRule="auto"/>
        <w:ind w:firstLine="420" w:firstLineChars="200"/>
        <w:rPr>
          <w:rFonts w:ascii="仿宋_GB2312" w:hAnsi="宋体" w:eastAsia="仿宋_GB2312"/>
          <w:color w:val="000000"/>
          <w:sz w:val="21"/>
          <w:szCs w:val="21"/>
        </w:rPr>
      </w:pPr>
    </w:p>
    <w:p>
      <w:pPr>
        <w:pStyle w:val="9"/>
        <w:ind w:firstLine="480" w:firstLineChars="200"/>
        <w:rPr>
          <w:rFonts w:ascii="仿宋_GB2312" w:hAnsi="宋体" w:eastAsia="仿宋_GB2312"/>
          <w:color w:val="000000"/>
          <w:szCs w:val="24"/>
        </w:rPr>
      </w:pPr>
      <w:r>
        <w:rPr>
          <w:rFonts w:hint="eastAsia" w:ascii="仿宋_GB2312" w:hAnsi="宋体" w:eastAsia="仿宋_GB2312"/>
          <w:color w:val="000000"/>
          <w:szCs w:val="24"/>
        </w:rPr>
        <w:t>本授权证明：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（姓名）是注册于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（地点）的</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公司法定代表人，现任</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。在此授权</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作为我公司的全权代理人，</w:t>
      </w:r>
    </w:p>
    <w:p>
      <w:pPr>
        <w:pStyle w:val="9"/>
        <w:ind w:firstLine="0"/>
        <w:rPr>
          <w:rFonts w:ascii="仿宋_GB2312" w:hAnsi="宋体" w:eastAsia="仿宋_GB2312"/>
          <w:color w:val="000000"/>
          <w:szCs w:val="24"/>
        </w:rPr>
      </w:pPr>
      <w:r>
        <w:rPr>
          <w:rFonts w:hint="eastAsia" w:ascii="仿宋_GB2312" w:hAnsi="宋体" w:eastAsia="仿宋_GB2312"/>
          <w:color w:val="000000"/>
          <w:szCs w:val="24"/>
        </w:rPr>
        <w:t>在</w:t>
      </w:r>
      <w:r>
        <w:rPr>
          <w:rFonts w:hint="eastAsia" w:ascii="仿宋_GB2312" w:hAnsi="宋体" w:eastAsia="仿宋_GB2312"/>
          <w:color w:val="000000"/>
          <w:szCs w:val="24"/>
          <w:u w:val="single"/>
        </w:rPr>
        <w:t xml:space="preserve">           项目</w:t>
      </w:r>
      <w:r>
        <w:rPr>
          <w:rFonts w:hint="eastAsia" w:ascii="仿宋_GB2312" w:hAnsi="宋体" w:eastAsia="仿宋_GB2312"/>
          <w:color w:val="000000"/>
          <w:szCs w:val="24"/>
        </w:rPr>
        <w:t>的竞选及其合同执行过程中，以我公司的名义处理一切与之有关的事务。</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本授权书于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日起签字生效，特此声明。</w:t>
      </w:r>
    </w:p>
    <w:p>
      <w:pPr>
        <w:spacing w:line="300" w:lineRule="auto"/>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00" w:lineRule="auto"/>
        <w:ind w:firstLine="120" w:firstLineChars="50"/>
        <w:rPr>
          <w:rFonts w:ascii="仿宋_GB2312" w:hAnsi="宋体" w:eastAsia="仿宋_GB2312"/>
          <w:color w:val="000000"/>
          <w:sz w:val="24"/>
        </w:rPr>
      </w:pP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 xml:space="preserve">竞投人全称（公章）：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法定代表人（</w:t>
      </w:r>
      <w:r>
        <w:rPr>
          <w:rFonts w:hint="eastAsia" w:ascii="仿宋_GB2312" w:hAnsi="宋体" w:eastAsia="仿宋_GB2312"/>
          <w:bCs/>
          <w:color w:val="000000"/>
          <w:sz w:val="24"/>
        </w:rPr>
        <w:t>签字</w:t>
      </w:r>
      <w:r>
        <w:rPr>
          <w:rFonts w:hint="eastAsia" w:ascii="仿宋_GB2312" w:hAnsi="宋体" w:eastAsia="仿宋_GB2312"/>
          <w:color w:val="000000"/>
          <w:sz w:val="24"/>
        </w:rPr>
        <w:t xml:space="preserve">）：        </w:t>
      </w:r>
    </w:p>
    <w:p>
      <w:pPr>
        <w:spacing w:line="360" w:lineRule="auto"/>
        <w:ind w:firstLine="120" w:firstLineChars="50"/>
        <w:rPr>
          <w:rFonts w:ascii="仿宋_GB2312" w:hAnsi="宋体" w:eastAsia="仿宋_GB2312"/>
          <w:color w:val="000000"/>
          <w:sz w:val="24"/>
        </w:rPr>
      </w:pPr>
      <w:r>
        <w:rPr>
          <w:rFonts w:hint="eastAsia" w:ascii="仿宋_GB2312" w:hAnsi="宋体" w:eastAsia="仿宋_GB2312"/>
          <w:color w:val="000000"/>
          <w:sz w:val="24"/>
        </w:rPr>
        <w:t>被授权人(竞投人授权代表)（</w:t>
      </w:r>
      <w:r>
        <w:rPr>
          <w:rFonts w:hint="eastAsia" w:ascii="仿宋_GB2312" w:hAnsi="宋体" w:eastAsia="仿宋_GB2312"/>
          <w:bCs/>
          <w:color w:val="000000"/>
          <w:sz w:val="24"/>
        </w:rPr>
        <w:t>签字</w:t>
      </w:r>
      <w:r>
        <w:rPr>
          <w:rFonts w:hint="eastAsia" w:ascii="仿宋_GB2312" w:hAnsi="宋体" w:eastAsia="仿宋_GB2312"/>
          <w:color w:val="000000"/>
          <w:sz w:val="24"/>
        </w:rPr>
        <w:t>）：</w:t>
      </w:r>
    </w:p>
    <w:p>
      <w:pPr>
        <w:spacing w:line="360" w:lineRule="auto"/>
        <w:ind w:firstLine="105" w:firstLineChars="50"/>
        <w:rPr>
          <w:rFonts w:ascii="仿宋_GB2312" w:hAnsi="宋体" w:eastAsia="仿宋_GB2312"/>
          <w:color w:val="000000"/>
          <w:szCs w:val="21"/>
        </w:rPr>
      </w:pPr>
    </w:p>
    <w:p>
      <w:pPr>
        <w:spacing w:line="360" w:lineRule="auto"/>
        <w:ind w:firstLine="105" w:firstLineChars="50"/>
        <w:rPr>
          <w:rFonts w:ascii="仿宋_GB2312" w:hAnsi="宋体" w:eastAsia="仿宋_GB2312"/>
          <w:color w:val="000000"/>
          <w:szCs w:val="21"/>
        </w:rPr>
      </w:pPr>
      <w:r>
        <w:rPr>
          <w:rFonts w:hint="eastAsia" w:ascii="仿宋_GB2312" w:hAnsi="宋体" w:eastAsia="仿宋_GB2312"/>
          <w:color w:val="000000"/>
          <w:szCs w:val="21"/>
        </w:rPr>
        <w:t>法定代表人及被授权人身份证复印件（正反面）：</w:t>
      </w: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pStyle w:val="6"/>
        <w:rPr>
          <w:rFonts w:ascii="仿宋_GB2312" w:eastAsia="仿宋_GB2312"/>
          <w:sz w:val="21"/>
          <w:szCs w:val="21"/>
        </w:rPr>
      </w:pPr>
      <w:r>
        <w:rPr>
          <w:rFonts w:ascii="仿宋_GB2312" w:eastAsia="仿宋_GB2312"/>
          <w:b w:val="0"/>
          <w:sz w:val="24"/>
          <w:szCs w:val="24"/>
        </w:rPr>
        <w:br w:type="page"/>
      </w:r>
      <w:r>
        <w:rPr>
          <w:rFonts w:hint="eastAsia" w:ascii="仿宋_GB2312" w:eastAsia="仿宋_GB2312"/>
          <w:b w:val="0"/>
          <w:sz w:val="24"/>
          <w:szCs w:val="24"/>
        </w:rPr>
        <w:t>附件4：报价汇总表</w:t>
      </w:r>
    </w:p>
    <w:p>
      <w:pPr>
        <w:pStyle w:val="6"/>
        <w:jc w:val="center"/>
        <w:rPr>
          <w:rFonts w:ascii="仿宋_GB2312" w:hAnsi="宋体" w:eastAsia="仿宋_GB2312" w:cs="宋体"/>
          <w:b w:val="0"/>
          <w:bCs w:val="0"/>
        </w:rPr>
      </w:pPr>
      <w:r>
        <w:rPr>
          <w:rFonts w:hint="eastAsia" w:ascii="仿宋_GB2312" w:hAnsi="宋体" w:eastAsia="仿宋_GB2312" w:cs="宋体"/>
        </w:rPr>
        <w:t>报价汇总表（含税费）</w:t>
      </w:r>
    </w:p>
    <w:p>
      <w:pPr>
        <w:rPr>
          <w:rFonts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 w:hAnsi="仿宋" w:eastAsia="仿宋"/>
          <w:szCs w:val="21"/>
        </w:rPr>
        <w:t>禧悦府项目</w:t>
      </w:r>
      <w:r>
        <w:rPr>
          <w:rFonts w:hint="eastAsia" w:ascii="仿宋_GB2312" w:hAnsi="宋体" w:eastAsia="仿宋_GB2312" w:cs="Tahoma"/>
          <w:kern w:val="28"/>
          <w:szCs w:val="21"/>
          <w:lang w:eastAsia="zh-CN"/>
        </w:rPr>
        <w:t>停车场及导视围挡物料制作</w:t>
      </w:r>
      <w:r>
        <w:rPr>
          <w:rFonts w:hint="eastAsia" w:ascii="仿宋_GB2312" w:hAnsi="宋体" w:eastAsia="仿宋_GB2312" w:cs="Tahoma"/>
          <w:kern w:val="28"/>
          <w:szCs w:val="21"/>
        </w:rPr>
        <w:t>服务项目</w:t>
      </w:r>
    </w:p>
    <w:p>
      <w:pPr>
        <w:spacing w:line="360" w:lineRule="auto"/>
        <w:rPr>
          <w:rFonts w:ascii="仿宋_GB2312" w:hAnsi="宋体" w:eastAsia="仿宋_GB2312" w:cs="Tahoma"/>
          <w:kern w:val="28"/>
          <w:szCs w:val="21"/>
        </w:rPr>
      </w:pPr>
      <w:r>
        <w:rPr>
          <w:rFonts w:hint="eastAsia" w:ascii="仿宋_GB2312" w:hAnsi="宋体" w:eastAsia="仿宋_GB2312" w:cs="Tahoma"/>
          <w:szCs w:val="21"/>
        </w:rPr>
        <w:t xml:space="preserve">     </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项目报价：</w:t>
      </w:r>
      <w:r>
        <w:rPr>
          <w:rFonts w:ascii="仿宋_GB2312" w:hAnsi="仿宋_GB2312" w:eastAsia="仿宋_GB2312" w:cs="仿宋_GB2312"/>
          <w:szCs w:val="21"/>
        </w:rPr>
        <w:t xml:space="preserve"> </w:t>
      </w:r>
    </w:p>
    <w:tbl>
      <w:tblPr>
        <w:tblStyle w:val="14"/>
        <w:tblW w:w="6231" w:type="pct"/>
        <w:tblInd w:w="-116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155"/>
        <w:gridCol w:w="1560"/>
        <w:gridCol w:w="3030"/>
        <w:gridCol w:w="720"/>
        <w:gridCol w:w="690"/>
        <w:gridCol w:w="930"/>
        <w:gridCol w:w="1050"/>
        <w:gridCol w:w="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序号</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事项</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规格</w:t>
            </w:r>
          </w:p>
        </w:tc>
        <w:tc>
          <w:tcPr>
            <w:tcW w:w="1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材质</w:t>
            </w:r>
          </w:p>
        </w:tc>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数量</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单位</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不含税单价（元）</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不含税总价（元）</w:t>
            </w: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一.销售中心前段围挡: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销售中心前段围挡绿植墙美化</w:t>
            </w:r>
          </w:p>
        </w:tc>
        <w:tc>
          <w:tcPr>
            <w:tcW w:w="7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16.5*3.2米+47*3.2米+50.2*4米</w:t>
            </w:r>
          </w:p>
        </w:tc>
        <w:tc>
          <w:tcPr>
            <w:tcW w:w="1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用仿真草皮打底，面上装饰高仿真绿植墙材料（葵叶和麻松组合仿真叶，深色茶树叶，乌槽蕨叶浅色）3种颜色搭配安装</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404</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销售中心左侧围挡发光立体字制作</w:t>
            </w:r>
          </w:p>
        </w:tc>
        <w:tc>
          <w:tcPr>
            <w:tcW w:w="7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文字高70CM*22字，logo宽400CM*高90CM*2组，箭头高300CM*宽150CM*2组</w:t>
            </w:r>
          </w:p>
        </w:tc>
        <w:tc>
          <w:tcPr>
            <w:tcW w:w="1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箭头和立体文字都采用：1.5MM厚不锈钢电镀香槟金色围边立体字，背面垫2CM厚磨砂有机发光，内藏LED灯珠，4500K暖白色光，用螺杆固定安装</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4740</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CM</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项目路口至销售中心段的围挡发光立体字制作</w:t>
            </w:r>
          </w:p>
        </w:tc>
        <w:tc>
          <w:tcPr>
            <w:tcW w:w="7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文字高80CM*30字，logo宽450CM*高100CM*2组，箭头高400CM*宽170CM*2组</w:t>
            </w:r>
          </w:p>
        </w:tc>
        <w:tc>
          <w:tcPr>
            <w:tcW w:w="1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箭头和立体文字都采用：1.5MM厚不锈钢电镀香槟金色围边立体字，背面垫2CM厚磨砂有机发光，内藏LED灯珠，4500K暖白色光，用螺杆固定安装</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6500</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CM</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布电</w:t>
            </w:r>
          </w:p>
        </w:tc>
        <w:tc>
          <w:tcPr>
            <w:tcW w:w="7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15"/>
                <w:szCs w:val="15"/>
                <w:u w:val="none"/>
              </w:rPr>
            </w:pPr>
          </w:p>
        </w:tc>
        <w:tc>
          <w:tcPr>
            <w:tcW w:w="1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主线用3*6平方主线套户外线管，配户外电箱（时控开关，漏电开光，接触器等设备），总长200米</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项</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66" w:type="pct"/>
            <w:gridSpan w:val="7"/>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二.停车场围挡：</w:t>
            </w:r>
          </w:p>
        </w:tc>
        <w:tc>
          <w:tcPr>
            <w:tcW w:w="494" w:type="pct"/>
            <w:tcBorders>
              <w:top w:val="nil"/>
              <w:left w:val="nil"/>
              <w:bottom w:val="nil"/>
              <w:right w:val="nil"/>
            </w:tcBorders>
            <w:shd w:val="clear" w:color="auto" w:fill="FFFFFF"/>
            <w:vAlign w:val="center"/>
          </w:tcPr>
          <w:p>
            <w:pPr>
              <w:jc w:val="center"/>
              <w:rPr>
                <w:rFonts w:hint="eastAsia" w:ascii="微软雅黑" w:hAnsi="微软雅黑" w:eastAsia="微软雅黑" w:cs="微软雅黑"/>
                <w:i w:val="0"/>
                <w:iCs w:val="0"/>
                <w:color w:val="000000"/>
                <w:sz w:val="15"/>
                <w:szCs w:val="15"/>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停车场围挡仿真草皮</w:t>
            </w:r>
          </w:p>
        </w:tc>
        <w:tc>
          <w:tcPr>
            <w:tcW w:w="7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总长54米*高4米，长12米*高5米</w:t>
            </w:r>
          </w:p>
        </w:tc>
        <w:tc>
          <w:tcPr>
            <w:tcW w:w="1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用3CM厚三色加密仿真草皮（夏草）</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276</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2</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停车场围挡部分装饰仿真绿植墙</w:t>
            </w:r>
          </w:p>
        </w:tc>
        <w:tc>
          <w:tcPr>
            <w:tcW w:w="7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宽1.5米*高4米*7条，宽1.5米*高5米*1条</w:t>
            </w:r>
          </w:p>
        </w:tc>
        <w:tc>
          <w:tcPr>
            <w:tcW w:w="1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用仿真草皮打底，面上装饰高仿真绿植墙材料（葵叶和麻松组合仿真叶，深色茶树叶，乌槽蕨叶浅色）3种颜色搭配安装</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49.5</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3</w:t>
            </w: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销售中心围挡装饰条制作</w:t>
            </w:r>
          </w:p>
        </w:tc>
        <w:tc>
          <w:tcPr>
            <w:tcW w:w="73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高400CM*宽10CM*14条，高500CM*宽10CM*2条</w:t>
            </w:r>
          </w:p>
        </w:tc>
        <w:tc>
          <w:tcPr>
            <w:tcW w:w="14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采用：1.5MM厚不锈钢电镀香槟金色围边立体装饰条，围边厚度6CM</w:t>
            </w:r>
          </w:p>
        </w:tc>
        <w:tc>
          <w:tcPr>
            <w:tcW w:w="3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66</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米</w:t>
            </w:r>
          </w:p>
        </w:tc>
        <w:tc>
          <w:tcPr>
            <w:tcW w:w="43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c>
          <w:tcPr>
            <w:tcW w:w="49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合计金额：</w:t>
            </w:r>
          </w:p>
        </w:tc>
        <w:tc>
          <w:tcPr>
            <w:tcW w:w="49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p>
        </w:tc>
        <w:tc>
          <w:tcPr>
            <w:tcW w:w="33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4</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税收</w:t>
            </w:r>
          </w:p>
        </w:tc>
        <w:tc>
          <w:tcPr>
            <w:tcW w:w="326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5"/>
                <w:szCs w:val="15"/>
                <w:u w:val="none"/>
              </w:rPr>
            </w:pPr>
            <w:r>
              <w:rPr>
                <w:rFonts w:hint="eastAsia" w:ascii="微软雅黑" w:hAnsi="微软雅黑" w:eastAsia="微软雅黑" w:cs="微软雅黑"/>
                <w:i w:val="0"/>
                <w:iCs w:val="0"/>
                <w:color w:val="000000"/>
                <w:kern w:val="0"/>
                <w:sz w:val="15"/>
                <w:szCs w:val="15"/>
                <w:u w:val="none"/>
                <w:lang w:val="en-US" w:eastAsia="zh-CN" w:bidi="ar"/>
              </w:rPr>
              <w:t>增值税专票  %</w:t>
            </w:r>
          </w:p>
        </w:tc>
        <w:tc>
          <w:tcPr>
            <w:tcW w:w="49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p>
        </w:tc>
        <w:tc>
          <w:tcPr>
            <w:tcW w:w="339"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66"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r>
              <w:rPr>
                <w:rFonts w:hint="eastAsia" w:ascii="微软雅黑" w:hAnsi="微软雅黑" w:eastAsia="微软雅黑" w:cs="微软雅黑"/>
                <w:b/>
                <w:bCs/>
                <w:i w:val="0"/>
                <w:iCs w:val="0"/>
                <w:color w:val="000000"/>
                <w:kern w:val="0"/>
                <w:sz w:val="15"/>
                <w:szCs w:val="15"/>
                <w:u w:val="none"/>
                <w:lang w:val="en-US" w:eastAsia="zh-CN" w:bidi="ar"/>
              </w:rPr>
              <w:t>合计总金额：</w:t>
            </w:r>
          </w:p>
        </w:tc>
        <w:tc>
          <w:tcPr>
            <w:tcW w:w="49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5"/>
                <w:szCs w:val="15"/>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5"/>
                <w:szCs w:val="15"/>
                <w:u w:val="none"/>
              </w:rPr>
            </w:pPr>
          </w:p>
        </w:tc>
      </w:tr>
    </w:tbl>
    <w:p>
      <w:pPr>
        <w:pStyle w:val="2"/>
        <w:ind w:left="0" w:firstLine="0"/>
      </w:pPr>
    </w:p>
    <w:p>
      <w:pPr>
        <w:numPr>
          <w:ilvl w:val="0"/>
          <w:numId w:val="7"/>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7"/>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不含税总报价：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p>
    <w:p>
      <w:pPr>
        <w:numPr>
          <w:ilvl w:val="0"/>
          <w:numId w:val="7"/>
        </w:num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增值税税额：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元，税率：</w:t>
      </w:r>
      <w:r>
        <w:rPr>
          <w:rFonts w:hint="eastAsia" w:ascii="仿宋_GB2312" w:hAnsi="仿宋_GB2312" w:eastAsia="仿宋_GB2312" w:cs="仿宋_GB2312"/>
          <w:szCs w:val="21"/>
          <w:u w:val="single"/>
        </w:rPr>
        <w:t xml:space="preserve">    %</w:t>
      </w:r>
    </w:p>
    <w:p>
      <w:pPr>
        <w:spacing w:line="360" w:lineRule="auto"/>
        <w:ind w:left="617" w:hanging="617" w:hangingChars="294"/>
        <w:jc w:val="left"/>
        <w:rPr>
          <w:rFonts w:ascii="仿宋_GB2312" w:hAnsi="仿宋_GB2312" w:eastAsia="仿宋_GB2312" w:cs="仿宋_GB2312"/>
          <w:szCs w:val="21"/>
        </w:rPr>
      </w:pPr>
    </w:p>
    <w:p>
      <w:pPr>
        <w:spacing w:line="360" w:lineRule="auto"/>
        <w:ind w:left="620" w:hanging="620" w:hangingChars="294"/>
        <w:jc w:val="left"/>
        <w:rPr>
          <w:rFonts w:ascii="仿宋_GB2312" w:hAnsi="仿宋_GB2312" w:eastAsia="仿宋_GB2312" w:cs="仿宋_GB2312"/>
          <w:b/>
          <w:bCs/>
          <w:szCs w:val="21"/>
        </w:rPr>
      </w:pPr>
      <w:r>
        <w:rPr>
          <w:rFonts w:hint="eastAsia" w:ascii="仿宋_GB2312" w:hAnsi="仿宋_GB2312" w:eastAsia="仿宋_GB2312" w:cs="仿宋_GB2312"/>
          <w:b/>
          <w:bCs/>
          <w:szCs w:val="21"/>
        </w:rPr>
        <w:t>备注：竞投单位在竞选公告期间已联系招选单位工作人员进行现场核实，位置经双方确认无误。</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注：1.此表为完成采购项目所有服务内容的总报价明细表，如有缺项、漏项，视为竞投报价中已包含相关费用，采购人无须另外支付任何费用；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2.竞投人应按采购文件的要求，根据实际情况进行报价。本表内的竞投总价为最终报价，竞投文件内不得含有任何对本报价进行修改的其他说明，否则将被视为无效竞投；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3.竞投总报价包括了竞投人完成本项目所需的一切工作内容而发生的所有费用；</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4.本竞投价为按实结算；</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5.报价以人民币元为单位，保留小数点后两位；</w:t>
      </w:r>
    </w:p>
    <w:p>
      <w:pPr>
        <w:spacing w:line="360" w:lineRule="auto"/>
        <w:ind w:left="617" w:hanging="617" w:hangingChars="294"/>
        <w:jc w:val="left"/>
        <w:rPr>
          <w:rFonts w:ascii="仿宋_GB2312" w:hAnsi="仿宋_GB2312" w:eastAsia="仿宋_GB2312" w:cs="仿宋_GB2312"/>
          <w:szCs w:val="21"/>
        </w:rPr>
      </w:pPr>
      <w:r>
        <w:rPr>
          <w:rFonts w:hint="eastAsia" w:ascii="仿宋_GB2312" w:hAnsi="仿宋_GB2312" w:eastAsia="仿宋_GB2312" w:cs="仿宋_GB2312"/>
          <w:szCs w:val="21"/>
        </w:rPr>
        <w:t xml:space="preserve">     6.本表格须附在正副的竞投文件中；</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7.本表格式仅作参考，竞投人的详细报价表格式可自定。</w:t>
      </w:r>
    </w:p>
    <w:p>
      <w:pPr>
        <w:spacing w:line="360" w:lineRule="auto"/>
        <w:jc w:val="left"/>
        <w:rPr>
          <w:rFonts w:ascii="仿宋_GB2312" w:hAnsi="仿宋_GB2312" w:eastAsia="仿宋_GB2312" w:cs="仿宋_GB2312"/>
          <w:szCs w:val="21"/>
        </w:rPr>
      </w:pPr>
    </w:p>
    <w:p>
      <w:pPr>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ind w:firstLine="210" w:firstLineChars="100"/>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spacing w:before="120" w:after="120" w:line="440" w:lineRule="exact"/>
        <w:ind w:firstLine="210" w:firstLineChars="100"/>
        <w:rPr>
          <w:rFonts w:ascii="仿宋_GB2312" w:hAnsi="宋体" w:eastAsia="仿宋_GB2312"/>
          <w:bCs/>
          <w:szCs w:val="21"/>
        </w:rPr>
      </w:pPr>
      <w:r>
        <w:rPr>
          <w:rFonts w:hint="eastAsia" w:ascii="仿宋_GB2312" w:hAnsi="宋体" w:eastAsia="仿宋_GB2312"/>
          <w:bCs/>
          <w:szCs w:val="21"/>
        </w:rPr>
        <w:t>日    期：         年      月     日</w:t>
      </w:r>
    </w:p>
    <w:p>
      <w:pPr>
        <w:rPr>
          <w:rFonts w:ascii="仿宋_GB2312" w:eastAsia="仿宋_GB2312"/>
          <w:szCs w:val="21"/>
        </w:rPr>
      </w:pPr>
      <w:r>
        <w:rPr>
          <w:rFonts w:ascii="仿宋_GB2312" w:eastAsia="仿宋_GB2312"/>
          <w:b/>
          <w:sz w:val="24"/>
        </w:rPr>
        <w:br w:type="page"/>
      </w:r>
      <w:r>
        <w:rPr>
          <w:rFonts w:hint="eastAsia" w:ascii="仿宋_GB2312" w:eastAsia="仿宋_GB2312"/>
          <w:sz w:val="24"/>
        </w:rPr>
        <w:t>附件5：其他资料</w:t>
      </w:r>
    </w:p>
    <w:p>
      <w:pPr>
        <w:widowControl/>
        <w:spacing w:line="440" w:lineRule="exact"/>
        <w:ind w:left="88" w:leftChars="42"/>
        <w:rPr>
          <w:rFonts w:ascii="仿宋_GB2312" w:eastAsia="仿宋_GB2312"/>
        </w:rPr>
      </w:pPr>
      <w:r>
        <w:rPr>
          <w:rFonts w:hint="eastAsia" w:ascii="仿宋_GB2312" w:eastAsia="仿宋_GB2312"/>
        </w:rPr>
        <w:t xml:space="preserve">          </w:t>
      </w:r>
    </w:p>
    <w:p>
      <w:pPr>
        <w:widowControl/>
        <w:spacing w:line="440" w:lineRule="exact"/>
        <w:ind w:left="88" w:leftChars="42"/>
        <w:rPr>
          <w:rFonts w:ascii="仿宋_GB2312" w:eastAsia="仿宋_GB2312"/>
        </w:rPr>
      </w:pPr>
      <w:r>
        <w:rPr>
          <w:rFonts w:hint="eastAsia" w:ascii="仿宋_GB2312" w:eastAsia="仿宋_GB2312"/>
          <w:sz w:val="28"/>
          <w:szCs w:val="28"/>
        </w:rPr>
        <w:t>1.企业营业执照复印件（盖章）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2.企业资质证书复印件（如有）（盖章）</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3.其他企业综合资信资料（如有）……</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4.其他同类项目业绩情况资料……</w:t>
      </w:r>
    </w:p>
    <w:p>
      <w:pPr>
        <w:widowControl/>
        <w:spacing w:line="440" w:lineRule="exact"/>
        <w:jc w:val="left"/>
        <w:rPr>
          <w:rFonts w:ascii="仿宋_GB2312" w:eastAsia="仿宋_GB2312"/>
          <w:sz w:val="28"/>
          <w:szCs w:val="28"/>
        </w:rPr>
      </w:pPr>
      <w:r>
        <w:rPr>
          <w:rFonts w:hint="eastAsia" w:ascii="仿宋_GB2312" w:eastAsia="仿宋_GB2312"/>
          <w:sz w:val="28"/>
          <w:szCs w:val="28"/>
        </w:rPr>
        <w:t xml:space="preserve">        </w:t>
      </w:r>
    </w:p>
    <w:p>
      <w:pPr>
        <w:pStyle w:val="6"/>
        <w:jc w:val="center"/>
        <w:rPr>
          <w:rFonts w:ascii="宋体" w:hAnsi="宋体" w:eastAsia="宋体" w:cs="宋体"/>
        </w:rPr>
      </w:pPr>
      <w:bookmarkStart w:id="12" w:name="OLE_LINK1"/>
      <w:r>
        <w:rPr>
          <w:rFonts w:hint="eastAsia" w:ascii="宋体" w:hAnsi="宋体" w:eastAsia="宋体" w:cs="宋体"/>
        </w:rPr>
        <w:t>公司近两年同类项目业绩情况一览表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298"/>
        <w:gridCol w:w="3493"/>
        <w:gridCol w:w="1485"/>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000" w:type="dxa"/>
            <w:vAlign w:val="center"/>
          </w:tcPr>
          <w:p>
            <w:pPr>
              <w:spacing w:line="400" w:lineRule="exact"/>
              <w:jc w:val="center"/>
              <w:rPr>
                <w:rFonts w:ascii="仿宋_GB2312" w:eastAsia="仿宋_GB2312"/>
                <w:b/>
                <w:bCs/>
                <w:sz w:val="24"/>
              </w:rPr>
            </w:pPr>
            <w:r>
              <w:rPr>
                <w:rFonts w:hint="eastAsia" w:ascii="仿宋_GB2312" w:eastAsia="仿宋_GB2312"/>
                <w:b/>
                <w:bCs/>
                <w:sz w:val="24"/>
              </w:rPr>
              <w:t>序号</w:t>
            </w:r>
          </w:p>
        </w:tc>
        <w:tc>
          <w:tcPr>
            <w:tcW w:w="1298" w:type="dxa"/>
            <w:vAlign w:val="center"/>
          </w:tcPr>
          <w:p>
            <w:pPr>
              <w:spacing w:line="400" w:lineRule="exact"/>
              <w:jc w:val="center"/>
              <w:rPr>
                <w:rFonts w:ascii="仿宋_GB2312" w:eastAsia="仿宋_GB2312"/>
                <w:b/>
                <w:bCs/>
                <w:sz w:val="24"/>
              </w:rPr>
            </w:pPr>
            <w:r>
              <w:rPr>
                <w:rFonts w:hint="eastAsia" w:ascii="仿宋_GB2312" w:eastAsia="仿宋_GB2312"/>
                <w:b/>
                <w:bCs/>
                <w:sz w:val="24"/>
              </w:rPr>
              <w:t>采购人</w:t>
            </w:r>
          </w:p>
          <w:p>
            <w:pPr>
              <w:spacing w:line="400" w:lineRule="exact"/>
              <w:jc w:val="center"/>
              <w:rPr>
                <w:rFonts w:ascii="仿宋_GB2312" w:eastAsia="仿宋_GB2312"/>
                <w:b/>
                <w:bCs/>
                <w:sz w:val="24"/>
              </w:rPr>
            </w:pPr>
            <w:r>
              <w:rPr>
                <w:rFonts w:hint="eastAsia" w:ascii="仿宋_GB2312" w:eastAsia="仿宋_GB2312"/>
                <w:b/>
                <w:bCs/>
                <w:sz w:val="24"/>
              </w:rPr>
              <w:t>名称</w:t>
            </w:r>
          </w:p>
        </w:tc>
        <w:tc>
          <w:tcPr>
            <w:tcW w:w="3493"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项目名称</w:t>
            </w:r>
          </w:p>
        </w:tc>
        <w:tc>
          <w:tcPr>
            <w:tcW w:w="1485" w:type="dxa"/>
            <w:vAlign w:val="center"/>
          </w:tcPr>
          <w:p>
            <w:pPr>
              <w:spacing w:line="400" w:lineRule="exact"/>
              <w:jc w:val="center"/>
              <w:rPr>
                <w:rFonts w:ascii="仿宋_GB2312" w:eastAsia="仿宋_GB2312"/>
                <w:b/>
                <w:bCs/>
                <w:sz w:val="24"/>
              </w:rPr>
            </w:pPr>
            <w:r>
              <w:rPr>
                <w:rFonts w:hint="eastAsia" w:ascii="仿宋_GB2312" w:eastAsia="仿宋_GB2312"/>
                <w:b/>
                <w:bCs/>
                <w:sz w:val="24"/>
              </w:rPr>
              <w:t>合同总价</w:t>
            </w:r>
          </w:p>
          <w:p>
            <w:pPr>
              <w:spacing w:line="400" w:lineRule="exact"/>
              <w:jc w:val="center"/>
              <w:rPr>
                <w:rFonts w:ascii="仿宋_GB2312" w:eastAsia="仿宋_GB2312"/>
                <w:b/>
                <w:bCs/>
                <w:sz w:val="24"/>
              </w:rPr>
            </w:pPr>
            <w:r>
              <w:rPr>
                <w:rFonts w:hint="eastAsia" w:ascii="仿宋_GB2312" w:eastAsia="仿宋_GB2312"/>
                <w:b/>
                <w:bCs/>
              </w:rPr>
              <w:t>（单位/万元）</w:t>
            </w:r>
          </w:p>
        </w:tc>
        <w:tc>
          <w:tcPr>
            <w:tcW w:w="1524" w:type="dxa"/>
            <w:vAlign w:val="center"/>
          </w:tcPr>
          <w:p>
            <w:pPr>
              <w:spacing w:line="400" w:lineRule="exact"/>
              <w:jc w:val="center"/>
              <w:rPr>
                <w:rFonts w:ascii="仿宋_GB2312" w:eastAsia="仿宋_GB2312"/>
                <w:b/>
                <w:bCs/>
                <w:sz w:val="24"/>
              </w:rPr>
            </w:pPr>
            <w:r>
              <w:rPr>
                <w:rFonts w:hint="eastAsia" w:ascii="仿宋_GB2312" w:eastAsia="仿宋_GB2312"/>
                <w:b/>
                <w:bCs/>
                <w:sz w:val="24"/>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1</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2</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3</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4</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00" w:type="dxa"/>
            <w:vAlign w:val="center"/>
          </w:tcPr>
          <w:p>
            <w:pPr>
              <w:spacing w:line="360" w:lineRule="auto"/>
              <w:jc w:val="center"/>
              <w:rPr>
                <w:rFonts w:ascii="仿宋_GB2312" w:eastAsia="仿宋_GB2312"/>
                <w:sz w:val="28"/>
                <w:szCs w:val="28"/>
              </w:rPr>
            </w:pPr>
            <w:r>
              <w:rPr>
                <w:rFonts w:hint="eastAsia" w:ascii="仿宋_GB2312" w:eastAsia="仿宋_GB2312"/>
                <w:sz w:val="28"/>
                <w:szCs w:val="28"/>
              </w:rPr>
              <w:t>5</w:t>
            </w:r>
          </w:p>
        </w:tc>
        <w:tc>
          <w:tcPr>
            <w:tcW w:w="1298" w:type="dxa"/>
            <w:vAlign w:val="center"/>
          </w:tcPr>
          <w:p>
            <w:pPr>
              <w:spacing w:line="720" w:lineRule="auto"/>
              <w:jc w:val="center"/>
              <w:rPr>
                <w:rFonts w:ascii="仿宋_GB2312" w:eastAsia="仿宋_GB2312"/>
                <w:szCs w:val="21"/>
              </w:rPr>
            </w:pPr>
          </w:p>
        </w:tc>
        <w:tc>
          <w:tcPr>
            <w:tcW w:w="3493" w:type="dxa"/>
          </w:tcPr>
          <w:p>
            <w:pPr>
              <w:spacing w:line="400" w:lineRule="exact"/>
              <w:jc w:val="center"/>
              <w:rPr>
                <w:rFonts w:ascii="仿宋_GB2312" w:eastAsia="仿宋_GB2312"/>
                <w:szCs w:val="21"/>
              </w:rPr>
            </w:pPr>
          </w:p>
        </w:tc>
        <w:tc>
          <w:tcPr>
            <w:tcW w:w="1485" w:type="dxa"/>
            <w:vAlign w:val="center"/>
          </w:tcPr>
          <w:p>
            <w:pPr>
              <w:spacing w:line="400" w:lineRule="exact"/>
              <w:jc w:val="center"/>
              <w:rPr>
                <w:rFonts w:ascii="仿宋_GB2312" w:eastAsia="仿宋_GB2312"/>
                <w:szCs w:val="21"/>
              </w:rPr>
            </w:pPr>
          </w:p>
        </w:tc>
        <w:tc>
          <w:tcPr>
            <w:tcW w:w="1524" w:type="dxa"/>
            <w:vAlign w:val="center"/>
          </w:tcPr>
          <w:p>
            <w:pPr>
              <w:spacing w:line="400" w:lineRule="exact"/>
              <w:jc w:val="center"/>
              <w:rPr>
                <w:rFonts w:ascii="仿宋_GB2312"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注：请附上同类业绩评价证明资料（如中标通知书、合同等），评审细则另有要求的，按评审细则提供。</w:t>
      </w:r>
    </w:p>
    <w:bookmarkEnd w:id="12"/>
    <w:p>
      <w:pPr>
        <w:spacing w:line="440" w:lineRule="exact"/>
        <w:rPr>
          <w:rFonts w:ascii="仿宋_GB2312" w:hAnsi="宋体" w:eastAsia="仿宋_GB2312"/>
          <w:bCs/>
          <w:sz w:val="24"/>
        </w:rPr>
      </w:pPr>
      <w:bookmarkStart w:id="13" w:name="_Toc228899514"/>
      <w:bookmarkStart w:id="14" w:name="_Toc228644985"/>
      <w:bookmarkStart w:id="15" w:name="_Toc238282344"/>
      <w:bookmarkStart w:id="16" w:name="_Toc225565960"/>
      <w:bookmarkStart w:id="17" w:name="_Toc245819142"/>
      <w:bookmarkStart w:id="18" w:name="_Toc42951056"/>
      <w:bookmarkStart w:id="19" w:name="_Toc223939114"/>
      <w:bookmarkStart w:id="20" w:name="_Toc224435734"/>
      <w:bookmarkStart w:id="21" w:name="_Toc334797776"/>
    </w:p>
    <w:bookmarkEnd w:id="13"/>
    <w:bookmarkEnd w:id="14"/>
    <w:bookmarkEnd w:id="15"/>
    <w:bookmarkEnd w:id="16"/>
    <w:bookmarkEnd w:id="17"/>
    <w:bookmarkEnd w:id="18"/>
    <w:bookmarkEnd w:id="19"/>
    <w:bookmarkEnd w:id="20"/>
    <w:bookmarkEnd w:id="21"/>
    <w:p>
      <w:pPr>
        <w:spacing w:line="44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szCs w:val="21"/>
        </w:rPr>
        <w:t>签字</w:t>
      </w:r>
      <w:r>
        <w:rPr>
          <w:rFonts w:hint="eastAsia" w:ascii="仿宋_GB2312" w:hAnsi="宋体" w:eastAsia="仿宋_GB2312"/>
          <w:bCs/>
          <w:szCs w:val="21"/>
        </w:rPr>
        <w:t>)：</w:t>
      </w:r>
    </w:p>
    <w:p>
      <w:pPr>
        <w:widowControl/>
        <w:spacing w:before="120" w:after="120" w:line="440" w:lineRule="exact"/>
        <w:rPr>
          <w:rFonts w:ascii="仿宋_GB2312" w:eastAsia="仿宋_GB2312"/>
          <w:b/>
          <w:sz w:val="28"/>
          <w:szCs w:val="28"/>
        </w:rPr>
      </w:pPr>
      <w:r>
        <w:rPr>
          <w:rFonts w:hint="eastAsia" w:ascii="仿宋_GB2312" w:hAnsi="宋体" w:eastAsia="仿宋_GB2312"/>
          <w:bCs/>
          <w:szCs w:val="21"/>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EDE22"/>
    <w:multiLevelType w:val="multilevel"/>
    <w:tmpl w:val="AC6EDE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BE6EF9B6"/>
    <w:multiLevelType w:val="singleLevel"/>
    <w:tmpl w:val="BE6EF9B6"/>
    <w:lvl w:ilvl="0" w:tentative="0">
      <w:start w:val="1"/>
      <w:numFmt w:val="decimal"/>
      <w:suff w:val="nothing"/>
      <w:lvlText w:val="%1、"/>
      <w:lvlJc w:val="left"/>
    </w:lvl>
  </w:abstractNum>
  <w:abstractNum w:abstractNumId="2">
    <w:nsid w:val="485A5DCF"/>
    <w:multiLevelType w:val="multilevel"/>
    <w:tmpl w:val="485A5DC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4">
    <w:nsid w:val="5F4055B8"/>
    <w:multiLevelType w:val="multilevel"/>
    <w:tmpl w:val="5F4055B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E8366EC"/>
    <w:multiLevelType w:val="multilevel"/>
    <w:tmpl w:val="6E8366E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EA440F0"/>
    <w:multiLevelType w:val="multilevel"/>
    <w:tmpl w:val="7EA440F0"/>
    <w:lvl w:ilvl="0" w:tentative="0">
      <w:start w:val="1"/>
      <w:numFmt w:val="decimal"/>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YjkyODQwYjhlNTA1MjQ5YmM2ZjE3NWUxOThiNDMifQ=="/>
  </w:docVars>
  <w:rsids>
    <w:rsidRoot w:val="00A7327B"/>
    <w:rsid w:val="00023EA3"/>
    <w:rsid w:val="00033F48"/>
    <w:rsid w:val="00073D41"/>
    <w:rsid w:val="000A4679"/>
    <w:rsid w:val="000B5AB4"/>
    <w:rsid w:val="000F3F21"/>
    <w:rsid w:val="001162F0"/>
    <w:rsid w:val="001634B0"/>
    <w:rsid w:val="002017DA"/>
    <w:rsid w:val="002270D0"/>
    <w:rsid w:val="002361FF"/>
    <w:rsid w:val="00240319"/>
    <w:rsid w:val="00276EBF"/>
    <w:rsid w:val="002A5C84"/>
    <w:rsid w:val="00343F5C"/>
    <w:rsid w:val="003F3EAC"/>
    <w:rsid w:val="00431B81"/>
    <w:rsid w:val="004521B7"/>
    <w:rsid w:val="0047445C"/>
    <w:rsid w:val="00556797"/>
    <w:rsid w:val="0059211F"/>
    <w:rsid w:val="00595435"/>
    <w:rsid w:val="005D6334"/>
    <w:rsid w:val="005E73A7"/>
    <w:rsid w:val="00612376"/>
    <w:rsid w:val="00616977"/>
    <w:rsid w:val="006C2831"/>
    <w:rsid w:val="006F46AA"/>
    <w:rsid w:val="0072258B"/>
    <w:rsid w:val="0075238A"/>
    <w:rsid w:val="0075586B"/>
    <w:rsid w:val="00770BB7"/>
    <w:rsid w:val="007870CE"/>
    <w:rsid w:val="00797F8E"/>
    <w:rsid w:val="007A74E0"/>
    <w:rsid w:val="00816F11"/>
    <w:rsid w:val="008E7FCA"/>
    <w:rsid w:val="0095114D"/>
    <w:rsid w:val="009726F2"/>
    <w:rsid w:val="00995D25"/>
    <w:rsid w:val="009B3457"/>
    <w:rsid w:val="00A310AB"/>
    <w:rsid w:val="00A7327B"/>
    <w:rsid w:val="00A84E79"/>
    <w:rsid w:val="00AA5458"/>
    <w:rsid w:val="00AD11B0"/>
    <w:rsid w:val="00AD65BD"/>
    <w:rsid w:val="00BF74D5"/>
    <w:rsid w:val="00CA39FE"/>
    <w:rsid w:val="00CC1E84"/>
    <w:rsid w:val="00CC4996"/>
    <w:rsid w:val="00CC794A"/>
    <w:rsid w:val="00D419D7"/>
    <w:rsid w:val="00E2550B"/>
    <w:rsid w:val="00E46D9D"/>
    <w:rsid w:val="00E52182"/>
    <w:rsid w:val="00EC6A86"/>
    <w:rsid w:val="00F17BA7"/>
    <w:rsid w:val="00FF2E08"/>
    <w:rsid w:val="0CC85974"/>
    <w:rsid w:val="115508CE"/>
    <w:rsid w:val="125E1344"/>
    <w:rsid w:val="13CD3B9A"/>
    <w:rsid w:val="1EEF4F06"/>
    <w:rsid w:val="20B53271"/>
    <w:rsid w:val="24DD1A11"/>
    <w:rsid w:val="26A129EE"/>
    <w:rsid w:val="277D6406"/>
    <w:rsid w:val="2C9259D6"/>
    <w:rsid w:val="2E8B0237"/>
    <w:rsid w:val="3DC542C9"/>
    <w:rsid w:val="3E5C1989"/>
    <w:rsid w:val="406068BB"/>
    <w:rsid w:val="47DC3AFC"/>
    <w:rsid w:val="4D8B0A4F"/>
    <w:rsid w:val="54D97555"/>
    <w:rsid w:val="55606AEA"/>
    <w:rsid w:val="61826C66"/>
    <w:rsid w:val="67AE761C"/>
    <w:rsid w:val="68E000F0"/>
    <w:rsid w:val="6A05555E"/>
    <w:rsid w:val="6C9F4AA4"/>
    <w:rsid w:val="6D765805"/>
    <w:rsid w:val="719A1802"/>
    <w:rsid w:val="75884DFF"/>
    <w:rsid w:val="7A901024"/>
    <w:rsid w:val="7D3F4532"/>
    <w:rsid w:val="7F600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210"/>
    </w:pPr>
    <w:rPr>
      <w:sz w:val="21"/>
    </w:rPr>
  </w:style>
  <w:style w:type="paragraph" w:styleId="3">
    <w:name w:val="Body Text Indent"/>
    <w:basedOn w:val="1"/>
    <w:next w:val="4"/>
    <w:link w:val="23"/>
    <w:qFormat/>
    <w:uiPriority w:val="0"/>
    <w:pPr>
      <w:ind w:firstLine="570"/>
    </w:pPr>
    <w:rPr>
      <w:rFonts w:ascii="宋体" w:hAnsi="宋体" w:cstheme="minorBidi"/>
      <w:sz w:val="28"/>
      <w:szCs w:val="22"/>
    </w:rPr>
  </w:style>
  <w:style w:type="paragraph" w:styleId="4">
    <w:name w:val="envelope return"/>
    <w:basedOn w:val="1"/>
    <w:unhideWhenUsed/>
    <w:qFormat/>
    <w:uiPriority w:val="99"/>
    <w:pPr>
      <w:snapToGrid w:val="0"/>
    </w:pPr>
    <w:rPr>
      <w:rFonts w:ascii="Arial" w:hAnsi="Arial"/>
    </w:rPr>
  </w:style>
  <w:style w:type="paragraph" w:styleId="7">
    <w:name w:val="annotation text"/>
    <w:basedOn w:val="1"/>
    <w:link w:val="21"/>
    <w:qFormat/>
    <w:uiPriority w:val="99"/>
    <w:pPr>
      <w:jc w:val="left"/>
    </w:pPr>
    <w:rPr>
      <w:rFonts w:asciiTheme="minorHAnsi" w:hAnsiTheme="minorHAnsi" w:cstheme="minorBidi"/>
    </w:rPr>
  </w:style>
  <w:style w:type="paragraph" w:styleId="8">
    <w:name w:val="Body Text"/>
    <w:basedOn w:val="1"/>
    <w:link w:val="32"/>
    <w:unhideWhenUsed/>
    <w:qFormat/>
    <w:uiPriority w:val="99"/>
    <w:pPr>
      <w:spacing w:after="120"/>
    </w:pPr>
  </w:style>
  <w:style w:type="paragraph" w:styleId="9">
    <w:name w:val="Plain Text"/>
    <w:basedOn w:val="1"/>
    <w:link w:val="22"/>
    <w:qFormat/>
    <w:uiPriority w:val="0"/>
    <w:pPr>
      <w:spacing w:line="360" w:lineRule="auto"/>
      <w:ind w:firstLine="510"/>
    </w:pPr>
    <w:rPr>
      <w:rFonts w:ascii="宋体" w:hAnsi="Courier New" w:cstheme="minorBidi"/>
      <w:sz w:val="24"/>
      <w:szCs w:val="22"/>
    </w:rPr>
  </w:style>
  <w:style w:type="paragraph" w:styleId="10">
    <w:name w:val="Balloon Text"/>
    <w:basedOn w:val="1"/>
    <w:link w:val="33"/>
    <w:semiHidden/>
    <w:unhideWhenUsed/>
    <w:qFormat/>
    <w:uiPriority w:val="99"/>
    <w:rPr>
      <w:sz w:val="18"/>
      <w:szCs w:val="18"/>
    </w:rPr>
  </w:style>
  <w:style w:type="paragraph" w:styleId="11">
    <w:name w:val="footer"/>
    <w:basedOn w:val="1"/>
    <w:link w:val="18"/>
    <w:unhideWhenUsed/>
    <w:qFormat/>
    <w:uiPriority w:val="99"/>
    <w:pPr>
      <w:tabs>
        <w:tab w:val="center" w:pos="4153"/>
        <w:tab w:val="right" w:pos="8306"/>
      </w:tabs>
      <w:snapToGrid w:val="0"/>
      <w:jc w:val="left"/>
    </w:pPr>
    <w:rPr>
      <w:sz w:val="18"/>
      <w:szCs w:val="18"/>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rPr>
      <w:sz w:val="24"/>
    </w:rPr>
  </w:style>
  <w:style w:type="character" w:styleId="16">
    <w:name w:val="annotation reference"/>
    <w:basedOn w:val="15"/>
    <w:semiHidden/>
    <w:unhideWhenUsed/>
    <w:qFormat/>
    <w:uiPriority w:val="99"/>
    <w:rPr>
      <w:sz w:val="21"/>
      <w:szCs w:val="21"/>
    </w:rPr>
  </w:style>
  <w:style w:type="character" w:customStyle="1" w:styleId="17">
    <w:name w:val="页眉 字符"/>
    <w:basedOn w:val="15"/>
    <w:link w:val="12"/>
    <w:qFormat/>
    <w:uiPriority w:val="99"/>
    <w:rPr>
      <w:sz w:val="18"/>
      <w:szCs w:val="18"/>
    </w:rPr>
  </w:style>
  <w:style w:type="character" w:customStyle="1" w:styleId="18">
    <w:name w:val="页脚 字符"/>
    <w:basedOn w:val="15"/>
    <w:link w:val="11"/>
    <w:qFormat/>
    <w:uiPriority w:val="99"/>
    <w:rPr>
      <w:sz w:val="18"/>
      <w:szCs w:val="18"/>
    </w:rPr>
  </w:style>
  <w:style w:type="character" w:customStyle="1" w:styleId="19">
    <w:name w:val="标题 1 字符"/>
    <w:basedOn w:val="15"/>
    <w:link w:val="5"/>
    <w:qFormat/>
    <w:uiPriority w:val="0"/>
    <w:rPr>
      <w:rFonts w:ascii="Times New Roman" w:hAnsi="Times New Roman" w:eastAsia="宋体" w:cs="Times New Roman"/>
      <w:b/>
      <w:bCs/>
      <w:kern w:val="44"/>
      <w:sz w:val="44"/>
      <w:szCs w:val="44"/>
    </w:rPr>
  </w:style>
  <w:style w:type="character" w:customStyle="1" w:styleId="20">
    <w:name w:val="标题 2 字符"/>
    <w:basedOn w:val="15"/>
    <w:link w:val="6"/>
    <w:qFormat/>
    <w:uiPriority w:val="0"/>
    <w:rPr>
      <w:rFonts w:ascii="Arial" w:hAnsi="Arial" w:eastAsia="黑体" w:cs="Times New Roman"/>
      <w:b/>
      <w:bCs/>
      <w:sz w:val="32"/>
      <w:szCs w:val="32"/>
    </w:rPr>
  </w:style>
  <w:style w:type="character" w:customStyle="1" w:styleId="21">
    <w:name w:val="批注文字 字符"/>
    <w:link w:val="7"/>
    <w:semiHidden/>
    <w:qFormat/>
    <w:uiPriority w:val="0"/>
    <w:rPr>
      <w:rFonts w:eastAsia="宋体"/>
      <w:szCs w:val="24"/>
    </w:rPr>
  </w:style>
  <w:style w:type="character" w:customStyle="1" w:styleId="22">
    <w:name w:val="纯文本 字符"/>
    <w:link w:val="9"/>
    <w:qFormat/>
    <w:uiPriority w:val="0"/>
    <w:rPr>
      <w:rFonts w:ascii="宋体" w:hAnsi="Courier New" w:eastAsia="宋体"/>
      <w:sz w:val="24"/>
    </w:rPr>
  </w:style>
  <w:style w:type="character" w:customStyle="1" w:styleId="23">
    <w:name w:val="正文文本缩进 字符"/>
    <w:link w:val="3"/>
    <w:qFormat/>
    <w:uiPriority w:val="0"/>
    <w:rPr>
      <w:rFonts w:ascii="宋体" w:hAnsi="宋体" w:eastAsia="宋体"/>
      <w:sz w:val="28"/>
    </w:rPr>
  </w:style>
  <w:style w:type="character" w:customStyle="1" w:styleId="24">
    <w:name w:val="批注文字 Char1"/>
    <w:basedOn w:val="15"/>
    <w:semiHidden/>
    <w:qFormat/>
    <w:uiPriority w:val="99"/>
    <w:rPr>
      <w:rFonts w:ascii="Times New Roman" w:hAnsi="Times New Roman" w:eastAsia="宋体" w:cs="Times New Roman"/>
      <w:szCs w:val="24"/>
    </w:rPr>
  </w:style>
  <w:style w:type="character" w:customStyle="1" w:styleId="25">
    <w:name w:val="纯文本 Char1"/>
    <w:basedOn w:val="15"/>
    <w:semiHidden/>
    <w:qFormat/>
    <w:uiPriority w:val="99"/>
    <w:rPr>
      <w:rFonts w:ascii="宋体" w:hAnsi="Courier New" w:eastAsia="宋体" w:cs="Courier New"/>
      <w:szCs w:val="21"/>
    </w:rPr>
  </w:style>
  <w:style w:type="character" w:customStyle="1" w:styleId="26">
    <w:name w:val="正文文本缩进 Char1"/>
    <w:basedOn w:val="15"/>
    <w:semiHidden/>
    <w:qFormat/>
    <w:uiPriority w:val="99"/>
    <w:rPr>
      <w:rFonts w:ascii="Times New Roman" w:hAnsi="Times New Roman" w:eastAsia="宋体" w:cs="Times New Roman"/>
      <w:szCs w:val="24"/>
    </w:rPr>
  </w:style>
  <w:style w:type="paragraph" w:customStyle="1" w:styleId="27">
    <w:name w:val="彩色列表1"/>
    <w:basedOn w:val="1"/>
    <w:qFormat/>
    <w:uiPriority w:val="34"/>
    <w:pPr>
      <w:ind w:firstLine="420" w:firstLineChars="200"/>
    </w:pPr>
    <w:rPr>
      <w:rFonts w:ascii="Calibri" w:hAnsi="Calibri"/>
      <w:szCs w:val="22"/>
    </w:rPr>
  </w:style>
  <w:style w:type="paragraph" w:customStyle="1" w:styleId="28">
    <w:name w:val="正文_0_0"/>
    <w:qFormat/>
    <w:uiPriority w:val="0"/>
    <w:rPr>
      <w:rFonts w:ascii="Times New Roman" w:hAnsi="Times New Roman" w:eastAsia="宋体" w:cs="Times New Roman"/>
      <w:sz w:val="21"/>
      <w:lang w:val="en-US" w:eastAsia="zh-CN" w:bidi="ar-SA"/>
    </w:rPr>
  </w:style>
  <w:style w:type="paragraph" w:customStyle="1" w:styleId="29">
    <w:name w:val="列出段落1"/>
    <w:basedOn w:val="1"/>
    <w:qFormat/>
    <w:uiPriority w:val="1"/>
    <w:pPr>
      <w:ind w:firstLine="420" w:firstLineChars="200"/>
    </w:pPr>
  </w:style>
  <w:style w:type="paragraph" w:styleId="30">
    <w:name w:val="List Paragraph"/>
    <w:basedOn w:val="1"/>
    <w:qFormat/>
    <w:uiPriority w:val="1"/>
    <w:pPr>
      <w:ind w:firstLine="420" w:firstLineChars="200"/>
    </w:pPr>
    <w:rPr>
      <w:rFonts w:ascii="Calibri" w:hAnsi="Calibri"/>
      <w:szCs w:val="22"/>
    </w:rPr>
  </w:style>
  <w:style w:type="paragraph" w:customStyle="1" w:styleId="31">
    <w:name w:val="样式1"/>
    <w:basedOn w:val="1"/>
    <w:qFormat/>
    <w:uiPriority w:val="0"/>
    <w:pPr>
      <w:tabs>
        <w:tab w:val="left" w:pos="709"/>
      </w:tabs>
      <w:ind w:left="784" w:hanging="360"/>
    </w:pPr>
    <w:rPr>
      <w:rFonts w:ascii="宋体" w:hAnsi="宋体" w:eastAsia="楷体_GB2312"/>
      <w:sz w:val="26"/>
      <w:szCs w:val="20"/>
    </w:rPr>
  </w:style>
  <w:style w:type="character" w:customStyle="1" w:styleId="32">
    <w:name w:val="正文文本 字符"/>
    <w:basedOn w:val="15"/>
    <w:link w:val="8"/>
    <w:semiHidden/>
    <w:qFormat/>
    <w:uiPriority w:val="99"/>
    <w:rPr>
      <w:rFonts w:ascii="Times New Roman" w:hAnsi="Times New Roman" w:eastAsia="宋体" w:cs="Times New Roman"/>
      <w:szCs w:val="24"/>
    </w:rPr>
  </w:style>
  <w:style w:type="character" w:customStyle="1" w:styleId="33">
    <w:name w:val="批注框文本 字符"/>
    <w:basedOn w:val="15"/>
    <w:link w:val="10"/>
    <w:semiHidden/>
    <w:qFormat/>
    <w:uiPriority w:val="99"/>
    <w:rPr>
      <w:rFonts w:ascii="Times New Roman" w:hAnsi="Times New Roman" w:eastAsia="宋体" w:cs="Times New Roman"/>
      <w:sz w:val="18"/>
      <w:szCs w:val="18"/>
    </w:rPr>
  </w:style>
  <w:style w:type="paragraph" w:customStyle="1" w:styleId="34">
    <w:name w:val="Body text|1"/>
    <w:basedOn w:val="1"/>
    <w:qFormat/>
    <w:uiPriority w:val="0"/>
    <w:pPr>
      <w:spacing w:line="36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12682</Words>
  <Characters>13421</Characters>
  <Lines>78</Lines>
  <Paragraphs>22</Paragraphs>
  <TotalTime>0</TotalTime>
  <ScaleCrop>false</ScaleCrop>
  <LinksUpToDate>false</LinksUpToDate>
  <CharactersWithSpaces>14342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2021-08-09T01:55:00Z</dcterms:created>
  <dc:creator>杨振焕</dc:creator>
  <cp:lastModifiedBy>营销</cp:lastModifiedBy>
  <dcterms:modified xsi:type="dcterms:W3CDTF">2022-08-06T02:57:39Z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AE9FF95562964CFE9ED202554FA25F07</vt:lpwstr>
  </property>
</Properties>
</file>