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花果山特色小镇</w:t>
      </w:r>
    </w:p>
    <w:p>
      <w:pPr>
        <w:jc w:val="cente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有意思实验室活动</w:t>
      </w:r>
    </w:p>
    <w:p>
      <w:pPr>
        <w:jc w:val="center"/>
        <w:rPr>
          <w:rFonts w:hint="default"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服务采购项目</w:t>
      </w:r>
    </w:p>
    <w:p>
      <w:pPr>
        <w:jc w:val="center"/>
        <w:rPr>
          <w:rFonts w:hint="eastAsia" w:ascii="楷体" w:hAnsi="楷体" w:eastAsia="楷体" w:cs="Adobe 楷体 Std R"/>
          <w:b/>
          <w:w w:val="150"/>
          <w:sz w:val="48"/>
          <w:szCs w:val="4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highlight w:val="none"/>
        </w:rPr>
      </w:pPr>
      <w:r>
        <w:rPr>
          <w:rFonts w:hint="eastAsia" w:ascii="楷体" w:hAnsi="楷体" w:eastAsia="楷体" w:cs="Adobe 楷体 Std R"/>
          <w:b/>
          <w:w w:val="150"/>
          <w:sz w:val="80"/>
          <w:szCs w:val="80"/>
          <w:highlight w:val="none"/>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jc w:val="center"/>
        <w:rPr>
          <w:rFonts w:ascii="楷体" w:hAnsi="楷体" w:eastAsia="楷体" w:cs="宋体"/>
          <w:b/>
          <w:bCs/>
          <w:sz w:val="36"/>
          <w:szCs w:val="36"/>
          <w:highlight w:val="none"/>
        </w:rPr>
      </w:pPr>
      <w:r>
        <w:rPr>
          <w:rFonts w:hint="eastAsia" w:ascii="楷体" w:hAnsi="楷体" w:eastAsia="楷体" w:cs="宋体"/>
          <w:b/>
          <w:bCs/>
          <w:sz w:val="36"/>
          <w:szCs w:val="36"/>
          <w:highlight w:val="none"/>
        </w:rPr>
        <w:t>广州市城壹房地产代理有限公司</w:t>
      </w:r>
    </w:p>
    <w:p>
      <w:pPr>
        <w:spacing w:line="400" w:lineRule="exact"/>
        <w:jc w:val="center"/>
        <w:rPr>
          <w:rFonts w:ascii="楷体" w:hAnsi="楷体" w:eastAsia="楷体" w:cs="宋体"/>
          <w:b/>
          <w:bCs/>
          <w:sz w:val="32"/>
          <w:szCs w:val="32"/>
          <w:highlight w:val="none"/>
        </w:rPr>
      </w:pPr>
    </w:p>
    <w:p>
      <w:pPr>
        <w:spacing w:line="400" w:lineRule="exact"/>
        <w:jc w:val="center"/>
        <w:rPr>
          <w:rFonts w:ascii="楷体" w:hAnsi="楷体" w:eastAsia="楷体" w:cs="宋体"/>
          <w:b/>
          <w:bCs/>
          <w:sz w:val="32"/>
          <w:szCs w:val="32"/>
          <w:highlight w:val="none"/>
          <w:u w:val="none"/>
        </w:rPr>
      </w:pPr>
      <w:r>
        <w:rPr>
          <w:rFonts w:hint="eastAsia" w:ascii="楷体" w:hAnsi="楷体" w:eastAsia="楷体" w:cs="宋体"/>
          <w:b/>
          <w:bCs/>
          <w:sz w:val="32"/>
          <w:szCs w:val="32"/>
          <w:highlight w:val="none"/>
          <w:u w:val="none"/>
        </w:rPr>
        <w:t>202</w:t>
      </w:r>
      <w:r>
        <w:rPr>
          <w:rFonts w:hint="eastAsia" w:ascii="楷体" w:hAnsi="楷体" w:eastAsia="楷体" w:cs="宋体"/>
          <w:b/>
          <w:bCs/>
          <w:sz w:val="32"/>
          <w:szCs w:val="32"/>
          <w:highlight w:val="none"/>
          <w:u w:val="none"/>
          <w:lang w:val="en-US" w:eastAsia="zh-CN"/>
        </w:rPr>
        <w:t>1</w:t>
      </w:r>
      <w:r>
        <w:rPr>
          <w:rFonts w:hint="eastAsia" w:ascii="楷体" w:hAnsi="楷体" w:eastAsia="楷体" w:cs="宋体"/>
          <w:b/>
          <w:bCs/>
          <w:sz w:val="32"/>
          <w:szCs w:val="32"/>
          <w:highlight w:val="none"/>
          <w:u w:val="none"/>
        </w:rPr>
        <w:t>年</w:t>
      </w:r>
      <w:r>
        <w:rPr>
          <w:rFonts w:hint="eastAsia" w:ascii="楷体" w:hAnsi="楷体" w:eastAsia="楷体" w:cs="宋体"/>
          <w:b/>
          <w:bCs/>
          <w:sz w:val="32"/>
          <w:szCs w:val="32"/>
          <w:highlight w:val="none"/>
          <w:u w:val="none"/>
          <w:lang w:val="en-US" w:eastAsia="zh-CN"/>
        </w:rPr>
        <w:t>7</w:t>
      </w:r>
      <w:r>
        <w:rPr>
          <w:rFonts w:hint="eastAsia" w:ascii="楷体" w:hAnsi="楷体" w:eastAsia="楷体" w:cs="宋体"/>
          <w:b/>
          <w:bCs/>
          <w:sz w:val="32"/>
          <w:szCs w:val="32"/>
          <w:highlight w:val="none"/>
          <w:u w:val="none"/>
        </w:rPr>
        <w:t>月</w:t>
      </w:r>
      <w:r>
        <w:rPr>
          <w:rFonts w:hint="eastAsia" w:ascii="楷体" w:hAnsi="楷体" w:eastAsia="楷体" w:cs="宋体"/>
          <w:b/>
          <w:bCs/>
          <w:sz w:val="32"/>
          <w:szCs w:val="32"/>
          <w:highlight w:val="none"/>
          <w:u w:val="none"/>
          <w:lang w:val="en-US" w:eastAsia="zh-CN"/>
        </w:rPr>
        <w:t>5</w:t>
      </w:r>
      <w:r>
        <w:rPr>
          <w:rFonts w:hint="eastAsia" w:ascii="楷体" w:hAnsi="楷体" w:eastAsia="楷体" w:cs="宋体"/>
          <w:b/>
          <w:bCs/>
          <w:sz w:val="32"/>
          <w:szCs w:val="32"/>
          <w:highlight w:val="none"/>
          <w:u w:val="none"/>
        </w:rPr>
        <w:t>日</w:t>
      </w:r>
    </w:p>
    <w:p>
      <w:pPr>
        <w:spacing w:line="400" w:lineRule="exact"/>
        <w:jc w:val="center"/>
        <w:rPr>
          <w:rFonts w:ascii="仿宋_GB2312" w:hAnsi="Calibri" w:eastAsia="仿宋_GB2312" w:cs="Times New Roman"/>
          <w:szCs w:val="24"/>
          <w:highlight w:val="none"/>
        </w:rPr>
      </w:pPr>
      <w:r>
        <w:rPr>
          <w:rFonts w:ascii="仿宋_GB2312" w:hAnsi="宋体" w:eastAsia="仿宋_GB2312" w:cs="Times New Roman"/>
          <w:b/>
          <w:sz w:val="36"/>
          <w:szCs w:val="24"/>
          <w:highlight w:val="none"/>
        </w:rPr>
        <w:br w:type="page"/>
      </w:r>
      <w:r>
        <w:rPr>
          <w:rFonts w:ascii="仿宋_GB2312" w:hAnsi="宋体" w:eastAsia="仿宋_GB2312" w:cs="Times New Roman"/>
          <w:sz w:val="28"/>
          <w:szCs w:val="28"/>
          <w:highlight w:val="none"/>
        </w:rPr>
        <w:t xml:space="preserve"> </w:t>
      </w:r>
    </w:p>
    <w:p>
      <w:pPr>
        <w:keepNext/>
        <w:numPr>
          <w:ilvl w:val="0"/>
          <w:numId w:val="1"/>
        </w:numPr>
        <w:spacing w:line="400" w:lineRule="exact"/>
        <w:jc w:val="center"/>
        <w:outlineLvl w:val="0"/>
        <w:rPr>
          <w:rFonts w:ascii="仿宋_GB2312" w:hAnsi="宋体" w:eastAsia="仿宋_GB2312" w:cs="宋体"/>
          <w:b/>
          <w:bCs/>
          <w:spacing w:val="20"/>
          <w:kern w:val="44"/>
          <w:sz w:val="32"/>
          <w:szCs w:val="32"/>
          <w:highlight w:val="none"/>
        </w:rPr>
      </w:pPr>
      <w:bookmarkStart w:id="0" w:name="_Toc334797727"/>
      <w:r>
        <w:rPr>
          <w:rFonts w:hint="eastAsia" w:ascii="仿宋_GB2312" w:hAnsi="宋体" w:eastAsia="仿宋_GB2312" w:cs="宋体"/>
          <w:b/>
          <w:bCs/>
          <w:spacing w:val="20"/>
          <w:kern w:val="44"/>
          <w:sz w:val="32"/>
          <w:szCs w:val="32"/>
          <w:highlight w:val="none"/>
        </w:rPr>
        <w:t>竞选公告</w:t>
      </w:r>
      <w:bookmarkEnd w:id="0"/>
    </w:p>
    <w:p>
      <w:pPr>
        <w:spacing w:line="400" w:lineRule="exact"/>
        <w:rPr>
          <w:rFonts w:ascii="Calibri" w:hAnsi="Calibri" w:eastAsia="宋体" w:cs="Times New Roman"/>
          <w:szCs w:val="24"/>
          <w:highlight w:val="none"/>
        </w:rPr>
      </w:pPr>
    </w:p>
    <w:p>
      <w:pPr>
        <w:widowControl/>
        <w:spacing w:line="400" w:lineRule="exact"/>
        <w:jc w:val="center"/>
        <w:rPr>
          <w:rFonts w:hint="default" w:ascii="仿宋_GB2312" w:hAnsi="宋体" w:eastAsia="仿宋_GB2312" w:cs="宋体"/>
          <w:b/>
          <w:bCs/>
          <w:spacing w:val="20"/>
          <w:kern w:val="44"/>
          <w:sz w:val="32"/>
          <w:szCs w:val="32"/>
          <w:highlight w:val="none"/>
          <w:lang w:val="en-US" w:eastAsia="zh-CN"/>
        </w:rPr>
      </w:pPr>
      <w:r>
        <w:rPr>
          <w:rFonts w:hint="eastAsia" w:ascii="仿宋_GB2312" w:hAnsi="宋体" w:eastAsia="仿宋_GB2312" w:cs="宋体"/>
          <w:b/>
          <w:bCs/>
          <w:spacing w:val="20"/>
          <w:kern w:val="44"/>
          <w:sz w:val="32"/>
          <w:szCs w:val="32"/>
          <w:highlight w:val="none"/>
          <w:lang w:val="en-US" w:eastAsia="zh-CN"/>
        </w:rPr>
        <w:t>花果山特色小镇有意思实验室活动</w:t>
      </w:r>
    </w:p>
    <w:p>
      <w:pPr>
        <w:widowControl/>
        <w:spacing w:line="400" w:lineRule="exact"/>
        <w:jc w:val="center"/>
        <w:rPr>
          <w:rFonts w:ascii="仿宋_GB2312" w:hAnsi="宋体" w:eastAsia="仿宋_GB2312" w:cs="宋体"/>
          <w:b/>
          <w:bCs/>
          <w:spacing w:val="20"/>
          <w:kern w:val="44"/>
          <w:sz w:val="32"/>
          <w:szCs w:val="32"/>
          <w:highlight w:val="none"/>
        </w:rPr>
      </w:pPr>
      <w:r>
        <w:rPr>
          <w:rFonts w:hint="eastAsia" w:ascii="仿宋_GB2312" w:hAnsi="宋体" w:eastAsia="仿宋_GB2312" w:cs="宋体"/>
          <w:b/>
          <w:bCs/>
          <w:spacing w:val="20"/>
          <w:kern w:val="44"/>
          <w:sz w:val="32"/>
          <w:szCs w:val="32"/>
          <w:highlight w:val="none"/>
        </w:rPr>
        <w:t>服务采购项目竞选公告</w:t>
      </w:r>
    </w:p>
    <w:p>
      <w:pPr>
        <w:widowControl/>
        <w:spacing w:line="400" w:lineRule="exact"/>
        <w:jc w:val="center"/>
        <w:rPr>
          <w:rFonts w:ascii="仿宋_GB2312" w:hAnsi="宋体" w:eastAsia="仿宋_GB2312" w:cs="宋体"/>
          <w:b/>
          <w:bCs/>
          <w:spacing w:val="20"/>
          <w:kern w:val="44"/>
          <w:sz w:val="32"/>
          <w:szCs w:val="32"/>
          <w:highlight w:val="none"/>
        </w:rPr>
      </w:pP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根据有关法律法规及相关采购管理规定，本着公平、公正、公开原则，拟对</w:t>
      </w:r>
      <w:r>
        <w:rPr>
          <w:rFonts w:hint="eastAsia" w:ascii="仿宋_GB2312" w:hAnsi="仿宋_GB2312" w:eastAsia="仿宋_GB2312" w:cs="仿宋_GB2312"/>
          <w:sz w:val="24"/>
          <w:szCs w:val="24"/>
          <w:highlight w:val="none"/>
          <w:lang w:val="en-US" w:eastAsia="zh-CN"/>
        </w:rPr>
        <w:t>花果山特色小镇有意思实验室活动</w:t>
      </w:r>
      <w:r>
        <w:rPr>
          <w:rFonts w:hint="eastAsia" w:ascii="仿宋_GB2312" w:hAnsi="仿宋_GB2312" w:eastAsia="仿宋_GB2312" w:cs="仿宋_GB2312"/>
          <w:sz w:val="24"/>
          <w:szCs w:val="24"/>
          <w:highlight w:val="none"/>
        </w:rPr>
        <w:t>服务采购项目进行公开竞选采购，按竞选采购程序选定相应服务单位，现将竞选采购项目相关信息对外公开发布。</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一、竞选项目内容说明</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（一）项目名称：</w:t>
      </w:r>
      <w:r>
        <w:rPr>
          <w:rFonts w:hint="eastAsia" w:ascii="仿宋_GB2312" w:hAnsi="仿宋_GB2312" w:eastAsia="仿宋_GB2312" w:cs="仿宋_GB2312"/>
          <w:sz w:val="24"/>
          <w:szCs w:val="24"/>
          <w:highlight w:val="none"/>
          <w:lang w:val="en-US" w:eastAsia="zh-CN"/>
        </w:rPr>
        <w:t>花果山特色小镇有意思实验室活动</w:t>
      </w:r>
      <w:r>
        <w:rPr>
          <w:rFonts w:hint="eastAsia" w:ascii="仿宋_GB2312" w:hAnsi="仿宋_GB2312" w:eastAsia="仿宋_GB2312" w:cs="仿宋_GB2312"/>
          <w:sz w:val="24"/>
          <w:szCs w:val="24"/>
          <w:highlight w:val="none"/>
        </w:rPr>
        <w:t>服务采购项目</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（二）项目内容：针对</w:t>
      </w:r>
      <w:r>
        <w:rPr>
          <w:rFonts w:hint="eastAsia" w:ascii="仿宋_GB2312" w:hAnsi="仿宋_GB2312" w:eastAsia="仿宋_GB2312" w:cs="仿宋_GB2312"/>
          <w:sz w:val="24"/>
          <w:szCs w:val="24"/>
          <w:highlight w:val="none"/>
          <w:lang w:val="en-US" w:eastAsia="zh-CN"/>
        </w:rPr>
        <w:t>花果山特色小镇有意思实验室活动</w:t>
      </w:r>
      <w:r>
        <w:rPr>
          <w:rFonts w:hint="eastAsia" w:ascii="仿宋_GB2312" w:hAnsi="仿宋_GB2312" w:eastAsia="仿宋_GB2312" w:cs="仿宋_GB2312"/>
          <w:sz w:val="24"/>
          <w:szCs w:val="24"/>
          <w:highlight w:val="none"/>
        </w:rPr>
        <w:t>项目，提供</w:t>
      </w:r>
      <w:r>
        <w:rPr>
          <w:rFonts w:hint="eastAsia" w:ascii="仿宋_GB2312" w:hAnsi="仿宋_GB2312" w:eastAsia="仿宋_GB2312" w:cs="仿宋_GB2312"/>
          <w:sz w:val="24"/>
          <w:szCs w:val="24"/>
          <w:highlight w:val="none"/>
          <w:lang w:val="en-US" w:eastAsia="zh-CN"/>
        </w:rPr>
        <w:t>物料</w:t>
      </w:r>
      <w:r>
        <w:rPr>
          <w:rFonts w:hint="eastAsia" w:ascii="仿宋_GB2312" w:hAnsi="仿宋_GB2312" w:eastAsia="仿宋_GB2312" w:cs="仿宋_GB2312"/>
          <w:sz w:val="24"/>
          <w:szCs w:val="24"/>
          <w:highlight w:val="none"/>
          <w:lang w:eastAsia="zh-CN"/>
        </w:rPr>
        <w:t>设计、制作及执行</w:t>
      </w:r>
      <w:r>
        <w:rPr>
          <w:rFonts w:hint="eastAsia" w:ascii="仿宋_GB2312" w:hAnsi="仿宋_GB2312" w:eastAsia="仿宋_GB2312" w:cs="仿宋_GB2312"/>
          <w:sz w:val="24"/>
          <w:szCs w:val="24"/>
          <w:highlight w:val="none"/>
          <w:lang w:val="en-US" w:eastAsia="zh-CN"/>
        </w:rPr>
        <w:t>落地</w:t>
      </w:r>
      <w:r>
        <w:rPr>
          <w:rFonts w:hint="eastAsia" w:ascii="仿宋_GB2312" w:hAnsi="仿宋_GB2312" w:eastAsia="仿宋_GB2312" w:cs="仿宋_GB2312"/>
          <w:sz w:val="24"/>
          <w:szCs w:val="24"/>
          <w:highlight w:val="none"/>
        </w:rPr>
        <w:t>等一系列项目服务</w:t>
      </w:r>
    </w:p>
    <w:p>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sz w:val="24"/>
          <w:szCs w:val="24"/>
          <w:highlight w:val="none"/>
          <w:lang w:val="en-US" w:eastAsia="zh-CN"/>
        </w:rPr>
        <w:t>花果山超高清视频产业特色小镇</w:t>
      </w:r>
    </w:p>
    <w:p>
      <w:pPr>
        <w:spacing w:line="400" w:lineRule="exac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（四）项目限价：</w:t>
      </w:r>
      <w:r>
        <w:rPr>
          <w:rFonts w:hint="eastAsia" w:ascii="仿宋_GB2312" w:hAnsi="仿宋_GB2312" w:eastAsia="仿宋_GB2312" w:cs="仿宋_GB2312"/>
          <w:sz w:val="24"/>
          <w:szCs w:val="24"/>
          <w:highlight w:val="none"/>
          <w:lang w:val="en-US" w:eastAsia="zh-CN"/>
        </w:rPr>
        <w:t>200,326.22元</w:t>
      </w:r>
      <w:r>
        <w:rPr>
          <w:rFonts w:hint="eastAsia" w:ascii="仿宋_GB2312" w:hAnsi="仿宋_GB2312" w:eastAsia="仿宋_GB2312" w:cs="仿宋_GB2312"/>
          <w:sz w:val="24"/>
          <w:szCs w:val="24"/>
          <w:highlight w:val="none"/>
        </w:rPr>
        <w:t>人民币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含税</w:t>
      </w:r>
      <w:r>
        <w:rPr>
          <w:rFonts w:hint="eastAsia" w:ascii="仿宋_GB2312" w:hAnsi="仿宋_GB2312" w:eastAsia="仿宋_GB2312" w:cs="仿宋_GB2312"/>
          <w:sz w:val="24"/>
          <w:szCs w:val="24"/>
          <w:highlight w:val="none"/>
          <w:lang w:eastAsia="zh-CN"/>
        </w:rPr>
        <w:t>）</w:t>
      </w: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（五）本项目设置</w:t>
      </w:r>
      <w:r>
        <w:rPr>
          <w:rFonts w:hint="eastAsia" w:ascii="仿宋_GB2312" w:hAnsi="仿宋_GB2312" w:eastAsia="仿宋_GB2312" w:cs="仿宋_GB2312"/>
          <w:sz w:val="24"/>
          <w:szCs w:val="24"/>
          <w:highlight w:val="none"/>
          <w:lang w:val="en-US" w:eastAsia="zh-CN"/>
        </w:rPr>
        <w:t>合理</w:t>
      </w:r>
      <w:r>
        <w:rPr>
          <w:rFonts w:hint="eastAsia" w:ascii="仿宋_GB2312" w:hAnsi="仿宋_GB2312" w:eastAsia="仿宋_GB2312" w:cs="仿宋_GB2312"/>
          <w:sz w:val="24"/>
          <w:szCs w:val="24"/>
          <w:highlight w:val="none"/>
        </w:rPr>
        <w:t>报价区间为[项目限价*80%，项目限价]</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eastAsia="zh-CN"/>
        </w:rPr>
        <w:t>（六）公示时间：</w:t>
      </w:r>
      <w:r>
        <w:rPr>
          <w:rFonts w:hint="eastAsia" w:ascii="仿宋_GB2312" w:hAnsi="仿宋_GB2312" w:eastAsia="仿宋_GB2312" w:cs="仿宋_GB2312"/>
          <w:strike w:val="0"/>
          <w:sz w:val="24"/>
          <w:szCs w:val="24"/>
          <w:highlight w:val="none"/>
          <w:lang w:val="en-US" w:eastAsia="zh-CN"/>
        </w:rPr>
        <w:t>2021年7月5日至2021年7月9日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二、供应商资格要求</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（三）竞投人营业范围须符合本项目需求。</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三、竞投资料及递交时间地点</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w:t>
      </w:r>
      <w:r>
        <w:rPr>
          <w:rFonts w:hint="eastAsia" w:ascii="仿宋_GB2312" w:hAnsi="仿宋_GB2312" w:eastAsia="仿宋_GB2312" w:cs="仿宋_GB2312"/>
          <w:sz w:val="24"/>
          <w:szCs w:val="24"/>
          <w:highlight w:val="none"/>
          <w:lang w:val="en-US" w:eastAsia="zh-CN"/>
        </w:rPr>
        <w:t>花果山特色小镇有意思实验室活动</w:t>
      </w:r>
      <w:r>
        <w:rPr>
          <w:rFonts w:hint="eastAsia" w:ascii="仿宋_GB2312" w:hAnsi="仿宋_GB2312" w:eastAsia="仿宋_GB2312" w:cs="仿宋_GB2312"/>
          <w:sz w:val="24"/>
          <w:szCs w:val="24"/>
          <w:highlight w:val="none"/>
        </w:rPr>
        <w:t>服务采购项目</w:t>
      </w:r>
      <w:r>
        <w:rPr>
          <w:rFonts w:hint="eastAsia" w:ascii="仿宋_GB2312" w:hAnsi="仿宋_GB2312" w:eastAsia="仿宋_GB2312" w:cs="仿宋_GB2312"/>
          <w:sz w:val="24"/>
          <w:szCs w:val="24"/>
          <w:highlight w:val="none"/>
          <w:lang w:val="en-US" w:eastAsia="zh-CN"/>
        </w:rPr>
        <w:t>方案（含竞投报价执行清单、效果图及文字描述等内容事项）</w:t>
      </w:r>
      <w:r>
        <w:rPr>
          <w:rFonts w:hint="eastAsia" w:ascii="仿宋_GB2312" w:hAnsi="仿宋_GB2312" w:eastAsia="仿宋_GB2312" w:cs="仿宋_GB2312"/>
          <w:sz w:val="24"/>
          <w:szCs w:val="24"/>
          <w:highlight w:val="none"/>
        </w:rPr>
        <w:t>。</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（四）竞投文件提交时间：202</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日上午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00-9:30。</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val="en-US" w:eastAsia="zh-CN"/>
        </w:rPr>
        <w:t>（五）开标及评标时间为：</w:t>
      </w:r>
      <w:r>
        <w:rPr>
          <w:rFonts w:hint="eastAsia" w:ascii="仿宋_GB2312" w:hAnsi="仿宋_GB2312" w:eastAsia="仿宋_GB2312" w:cs="仿宋_GB2312"/>
          <w:strike w:val="0"/>
          <w:sz w:val="24"/>
          <w:szCs w:val="24"/>
          <w:highlight w:val="none"/>
        </w:rPr>
        <w:t>202</w:t>
      </w:r>
      <w:r>
        <w:rPr>
          <w:rFonts w:hint="eastAsia" w:ascii="仿宋_GB2312" w:hAnsi="仿宋_GB2312" w:eastAsia="仿宋_GB2312" w:cs="仿宋_GB2312"/>
          <w:strike w:val="0"/>
          <w:sz w:val="24"/>
          <w:szCs w:val="24"/>
          <w:highlight w:val="none"/>
          <w:lang w:val="en-US" w:eastAsia="zh-CN"/>
        </w:rPr>
        <w:t>1</w:t>
      </w:r>
      <w:r>
        <w:rPr>
          <w:rFonts w:hint="eastAsia" w:ascii="仿宋_GB2312" w:hAnsi="仿宋_GB2312" w:eastAsia="仿宋_GB2312" w:cs="仿宋_GB2312"/>
          <w:strike w:val="0"/>
          <w:sz w:val="24"/>
          <w:szCs w:val="24"/>
          <w:highlight w:val="none"/>
        </w:rPr>
        <w:t>年</w:t>
      </w:r>
      <w:r>
        <w:rPr>
          <w:rFonts w:hint="eastAsia" w:ascii="仿宋_GB2312" w:hAnsi="仿宋_GB2312" w:eastAsia="仿宋_GB2312" w:cs="仿宋_GB2312"/>
          <w:strike w:val="0"/>
          <w:sz w:val="24"/>
          <w:szCs w:val="24"/>
          <w:highlight w:val="none"/>
          <w:lang w:val="en-US" w:eastAsia="zh-CN"/>
        </w:rPr>
        <w:t>7</w:t>
      </w:r>
      <w:r>
        <w:rPr>
          <w:rFonts w:hint="eastAsia" w:ascii="仿宋_GB2312" w:hAnsi="仿宋_GB2312" w:eastAsia="仿宋_GB2312" w:cs="仿宋_GB2312"/>
          <w:strike w:val="0"/>
          <w:sz w:val="24"/>
          <w:szCs w:val="24"/>
          <w:highlight w:val="none"/>
        </w:rPr>
        <w:t>月</w:t>
      </w:r>
      <w:r>
        <w:rPr>
          <w:rFonts w:hint="eastAsia" w:ascii="仿宋_GB2312" w:hAnsi="仿宋_GB2312" w:eastAsia="仿宋_GB2312" w:cs="仿宋_GB2312"/>
          <w:strike w:val="0"/>
          <w:sz w:val="24"/>
          <w:szCs w:val="24"/>
          <w:highlight w:val="none"/>
          <w:lang w:val="en-US" w:eastAsia="zh-CN"/>
        </w:rPr>
        <w:t>12</w:t>
      </w:r>
      <w:r>
        <w:rPr>
          <w:rFonts w:hint="eastAsia" w:ascii="仿宋_GB2312" w:hAnsi="仿宋_GB2312" w:eastAsia="仿宋_GB2312" w:cs="仿宋_GB2312"/>
          <w:strike w:val="0"/>
          <w:sz w:val="24"/>
          <w:szCs w:val="24"/>
          <w:highlight w:val="none"/>
        </w:rPr>
        <w:t>日上午</w:t>
      </w:r>
      <w:r>
        <w:rPr>
          <w:rFonts w:hint="eastAsia" w:ascii="仿宋_GB2312" w:hAnsi="仿宋_GB2312" w:eastAsia="仿宋_GB2312" w:cs="仿宋_GB2312"/>
          <w:strike w:val="0"/>
          <w:sz w:val="24"/>
          <w:szCs w:val="24"/>
          <w:highlight w:val="none"/>
          <w:lang w:val="en-US" w:eastAsia="zh-CN"/>
        </w:rPr>
        <w:t>10:00。</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六</w:t>
      </w:r>
      <w:r>
        <w:rPr>
          <w:rFonts w:hint="eastAsia" w:ascii="仿宋_GB2312" w:hAnsi="仿宋_GB2312" w:eastAsia="仿宋_GB2312" w:cs="仿宋_GB2312"/>
          <w:sz w:val="24"/>
          <w:szCs w:val="24"/>
          <w:highlight w:val="none"/>
        </w:rPr>
        <w:t>）递交地址：广州市越秀区流花路117号16号馆2楼。</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四、中选和公布</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经综合评审，综合得分最高且方案符合广州市城壹房地产代理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（三）竞投文件的截止递交时间前，如递交的有效竞投文件少于三家，则采购招选工作失败。广州市城壹房地产代理有限公司将按有关规定另行组织采购竞选工作。</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（四）本采购文件的最终解释权归采购人。</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公布时间: 竞投截止日起30日内</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五、采购单位名称、地址及联系方式</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（一）采购人名称：广州市城壹房地产代理有限公司</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（二）采购人地址：广州市越秀区流花路流花展贸中心16号馆2楼</w:t>
      </w:r>
    </w:p>
    <w:p>
      <w:pPr>
        <w:snapToGrid/>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（三）采购联系人：</w:t>
      </w:r>
      <w:r>
        <w:rPr>
          <w:rFonts w:hint="eastAsia" w:ascii="仿宋_GB2312" w:hAnsi="仿宋_GB2312" w:eastAsia="仿宋_GB2312" w:cs="仿宋_GB2312"/>
          <w:sz w:val="24"/>
          <w:szCs w:val="24"/>
          <w:highlight w:val="none"/>
          <w:lang w:val="en-US" w:eastAsia="zh-CN"/>
        </w:rPr>
        <w:t>胡先生；</w:t>
      </w: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lang w:val="en-US" w:eastAsia="zh-CN"/>
        </w:rPr>
        <w:t>020-83707917</w:t>
      </w:r>
    </w:p>
    <w:p>
      <w:pPr>
        <w:widowControl/>
        <w:spacing w:line="400" w:lineRule="exact"/>
        <w:rPr>
          <w:rFonts w:ascii="仿宋_GB2312" w:hAnsi="仿宋_GB2312" w:eastAsia="仿宋_GB2312" w:cs="仿宋_GB2312"/>
          <w:kern w:val="0"/>
          <w:sz w:val="24"/>
          <w:szCs w:val="24"/>
          <w:highlight w:val="none"/>
        </w:rPr>
      </w:pPr>
    </w:p>
    <w:p>
      <w:pPr>
        <w:widowControl/>
        <w:spacing w:line="400" w:lineRule="exact"/>
        <w:rPr>
          <w:rFonts w:ascii="仿宋_GB2312" w:hAnsi="仿宋_GB2312" w:eastAsia="仿宋_GB2312" w:cs="仿宋_GB2312"/>
          <w:kern w:val="0"/>
          <w:sz w:val="24"/>
          <w:szCs w:val="24"/>
          <w:highlight w:val="none"/>
        </w:rPr>
      </w:pPr>
    </w:p>
    <w:p>
      <w:pPr>
        <w:widowControl/>
        <w:spacing w:line="400" w:lineRule="exact"/>
        <w:ind w:right="480"/>
        <w:jc w:val="right"/>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 xml:space="preserve">                       </w:t>
      </w:r>
      <w:r>
        <w:rPr>
          <w:rFonts w:hint="eastAsia" w:ascii="仿宋_GB2312" w:hAnsi="仿宋_GB2312" w:eastAsia="仿宋_GB2312" w:cs="仿宋_GB2312"/>
          <w:sz w:val="24"/>
          <w:szCs w:val="24"/>
          <w:highlight w:val="none"/>
        </w:rPr>
        <w:t>广州市城壹房地产代理有限公司</w:t>
      </w:r>
    </w:p>
    <w:p>
      <w:pPr>
        <w:widowControl/>
        <w:wordWrap w:val="0"/>
        <w:spacing w:line="400" w:lineRule="exact"/>
        <w:ind w:right="1200"/>
        <w:jc w:val="right"/>
        <w:rPr>
          <w:rFonts w:ascii="仿宋_GB2312" w:hAnsi="仿宋_GB2312" w:eastAsia="仿宋_GB2312" w:cs="仿宋_GB2312"/>
          <w:sz w:val="24"/>
          <w:szCs w:val="24"/>
          <w:highlight w:val="none"/>
          <w:u w:val="none"/>
        </w:rPr>
      </w:pPr>
      <w:r>
        <w:rPr>
          <w:rFonts w:hint="eastAsia" w:ascii="仿宋_GB2312" w:hAnsi="仿宋_GB2312" w:eastAsia="仿宋_GB2312" w:cs="仿宋_GB2312"/>
          <w:kern w:val="0"/>
          <w:sz w:val="24"/>
          <w:szCs w:val="24"/>
          <w:highlight w:val="none"/>
          <w:u w:val="none"/>
        </w:rPr>
        <w:t>202</w:t>
      </w:r>
      <w:r>
        <w:rPr>
          <w:rFonts w:hint="eastAsia" w:ascii="仿宋_GB2312" w:hAnsi="仿宋_GB2312" w:eastAsia="仿宋_GB2312" w:cs="仿宋_GB2312"/>
          <w:kern w:val="0"/>
          <w:sz w:val="24"/>
          <w:szCs w:val="24"/>
          <w:highlight w:val="none"/>
          <w:u w:val="none"/>
          <w:lang w:val="en-US" w:eastAsia="zh-CN"/>
        </w:rPr>
        <w:t>1</w:t>
      </w:r>
      <w:r>
        <w:rPr>
          <w:rFonts w:hint="eastAsia" w:ascii="仿宋_GB2312" w:hAnsi="仿宋_GB2312" w:eastAsia="仿宋_GB2312" w:cs="仿宋_GB2312"/>
          <w:kern w:val="0"/>
          <w:sz w:val="24"/>
          <w:szCs w:val="24"/>
          <w:highlight w:val="none"/>
          <w:u w:val="none"/>
        </w:rPr>
        <w:t>年</w:t>
      </w:r>
      <w:r>
        <w:rPr>
          <w:rFonts w:hint="eastAsia" w:ascii="仿宋_GB2312" w:hAnsi="仿宋_GB2312" w:eastAsia="仿宋_GB2312" w:cs="仿宋_GB2312"/>
          <w:kern w:val="0"/>
          <w:sz w:val="24"/>
          <w:szCs w:val="24"/>
          <w:highlight w:val="none"/>
          <w:u w:val="none"/>
          <w:lang w:val="en-US" w:eastAsia="zh-CN"/>
        </w:rPr>
        <w:t>7</w:t>
      </w:r>
      <w:r>
        <w:rPr>
          <w:rFonts w:hint="eastAsia" w:ascii="仿宋_GB2312" w:hAnsi="仿宋_GB2312" w:eastAsia="仿宋_GB2312" w:cs="仿宋_GB2312"/>
          <w:sz w:val="24"/>
          <w:szCs w:val="24"/>
          <w:highlight w:val="none"/>
          <w:u w:val="none"/>
        </w:rPr>
        <w:t>月</w:t>
      </w:r>
      <w:r>
        <w:rPr>
          <w:rFonts w:hint="eastAsia" w:ascii="仿宋_GB2312" w:hAnsi="仿宋_GB2312" w:eastAsia="仿宋_GB2312" w:cs="仿宋_GB2312"/>
          <w:sz w:val="24"/>
          <w:szCs w:val="24"/>
          <w:highlight w:val="none"/>
          <w:u w:val="none"/>
          <w:lang w:val="en-US" w:eastAsia="zh-CN"/>
        </w:rPr>
        <w:t>5</w:t>
      </w:r>
      <w:r>
        <w:rPr>
          <w:rFonts w:hint="eastAsia" w:ascii="仿宋_GB2312" w:hAnsi="仿宋_GB2312" w:eastAsia="仿宋_GB2312" w:cs="仿宋_GB2312"/>
          <w:sz w:val="24"/>
          <w:szCs w:val="24"/>
          <w:highlight w:val="none"/>
          <w:u w:val="none"/>
        </w:rPr>
        <w:t>日</w:t>
      </w: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keepNext/>
        <w:numPr>
          <w:ilvl w:val="0"/>
          <w:numId w:val="1"/>
        </w:numPr>
        <w:spacing w:line="400" w:lineRule="exact"/>
        <w:ind w:right="-441" w:rightChars="-210"/>
        <w:jc w:val="center"/>
        <w:outlineLvl w:val="0"/>
        <w:rPr>
          <w:rFonts w:ascii="仿宋_GB2312" w:hAnsi="Calibri" w:eastAsia="仿宋_GB2312" w:cs="Times New Roman"/>
          <w:b/>
          <w:sz w:val="32"/>
          <w:szCs w:val="32"/>
          <w:highlight w:val="none"/>
        </w:rPr>
      </w:pPr>
      <w:bookmarkStart w:id="1" w:name="_Toc130180842"/>
      <w:bookmarkStart w:id="2" w:name="_Toc334797738"/>
      <w:bookmarkStart w:id="3" w:name="_Toc130180737"/>
      <w:bookmarkStart w:id="4" w:name="_Toc238282338"/>
      <w:bookmarkStart w:id="5" w:name="_Toc130180923"/>
      <w:r>
        <w:rPr>
          <w:rFonts w:hint="eastAsia" w:ascii="仿宋_GB2312" w:hAnsi="Calibri" w:eastAsia="仿宋_GB2312" w:cs="Times New Roman"/>
          <w:b/>
          <w:sz w:val="32"/>
          <w:szCs w:val="32"/>
          <w:highlight w:val="none"/>
        </w:rPr>
        <w:t>竞选须知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一、总体说明</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竞选适用范围</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 项目竞选服务于广州市城壹房地产代理有限公司。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 本竞选文件仅适用于本次公开竞选所叙述的</w:t>
      </w:r>
      <w:r>
        <w:rPr>
          <w:rFonts w:hint="eastAsia" w:ascii="仿宋_GB2312" w:hAnsi="仿宋_GB2312" w:eastAsia="仿宋_GB2312" w:cs="仿宋_GB2312"/>
          <w:sz w:val="21"/>
          <w:szCs w:val="21"/>
          <w:highlight w:val="none"/>
          <w:lang w:val="en-US" w:eastAsia="zh-CN"/>
        </w:rPr>
        <w:t>花果山特色小镇有意思实验室活动</w:t>
      </w:r>
      <w:r>
        <w:rPr>
          <w:rFonts w:hint="eastAsia" w:ascii="仿宋_GB2312" w:hAnsi="仿宋_GB2312" w:eastAsia="仿宋_GB2312" w:cs="仿宋_GB2312"/>
          <w:szCs w:val="21"/>
          <w:highlight w:val="none"/>
        </w:rPr>
        <w:t>服务采购项目，本次竞选采用一次报价一次评标定标的方式，竞投人的报价必须固定，且只能根据采购方给予的方案作一个最有竞争力的设计和竞投人案，否则将作无效竞投处理。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 项目承包方式为合价包干形式。</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定义及解释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2.1 竞选文件中的标题仅起引导作用，而不应视为对竞选文件的内容的理解和解释。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2.2 服务：指竞投人为满足竞选文件要求而提供的服务。</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2.3 采购方：</w:t>
      </w:r>
      <w:r>
        <w:rPr>
          <w:rFonts w:hint="eastAsia" w:ascii="仿宋_GB2312" w:hAnsi="仿宋_GB2312" w:eastAsia="仿宋_GB2312" w:cs="仿宋_GB2312"/>
          <w:szCs w:val="21"/>
          <w:highlight w:val="none"/>
        </w:rPr>
        <w:t>广州市城壹房地产代理有限公司</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2.4 竞投人：指与竞选文件规定要求一致，响应竞选，参加竞选竞争的合法公司。</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2.6 中标承判商：指经评标委员会评审推荐、采购方确认的获得本项目中标资格的竞投人。</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2.7 合同：指依据本次服务竞投结果签订的协议。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2.8 日期：指公历日。</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3. 竞投费用</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3.1 本采购项目不设竞投保证金。</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3.2竞投人自行承担所有与编写和提交竞投文件的有关一切费用。</w:t>
      </w:r>
    </w:p>
    <w:p>
      <w:pPr>
        <w:spacing w:line="400" w:lineRule="exact"/>
        <w:rPr>
          <w:rFonts w:ascii="Calibri" w:hAnsi="Calibri" w:eastAsia="宋体" w:cs="Times New Roman"/>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二、竞投文件</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4. 竞投文件的构成</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4.2 竞投文件应装钉牢固不可拆卸，如因装钉不牢固导致的任何损失由竞投人承担。</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4.3 所有竞投文件（除特殊规格的图纸等外）应按A4规格制作。</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4.5 竞投人如对竞选文件有任何疑问，均应在规定时间的竞投答疑会上或</w:t>
      </w:r>
      <w:r>
        <w:rPr>
          <w:rFonts w:hint="eastAsia" w:ascii="仿宋_GB2312" w:hAnsi="仿宋_GB2312" w:eastAsia="仿宋_GB2312" w:cs="仿宋_GB2312"/>
          <w:szCs w:val="24"/>
          <w:highlight w:val="none"/>
          <w:lang w:eastAsia="zh-CN"/>
        </w:rPr>
        <w:t>请</w:t>
      </w:r>
      <w:r>
        <w:rPr>
          <w:rFonts w:hint="eastAsia" w:ascii="仿宋_GB2312" w:hAnsi="仿宋_GB2312" w:eastAsia="仿宋_GB2312" w:cs="仿宋_GB2312"/>
          <w:szCs w:val="24"/>
          <w:highlight w:val="none"/>
        </w:rPr>
        <w:t>以书面形式（包括书面文字、电传、传真、电报等，应加盖公章）向采购方提出澄清要求。</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竞选文件的修改与撤回</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5.1 在竞投截止时间之前，竞投人可以修改或撤回其竞投文件，但须书面通知采购方。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5.2 在竞投截止时间之后，采购方不接受竞投人对竞投文件做任何修改及撤回。</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三、竞投文件的编制</w:t>
      </w:r>
    </w:p>
    <w:p>
      <w:pPr>
        <w:spacing w:line="400" w:lineRule="exact"/>
        <w:rPr>
          <w:rFonts w:hint="eastAsia" w:ascii="仿宋_GB2312" w:hAnsi="仿宋_GB2312" w:eastAsia="仿宋_GB2312" w:cs="仿宋_GB2312"/>
          <w:sz w:val="21"/>
          <w:szCs w:val="24"/>
          <w:highlight w:val="none"/>
        </w:rPr>
      </w:pPr>
      <w:r>
        <w:rPr>
          <w:rFonts w:hint="eastAsia" w:ascii="仿宋_GB2312" w:hAnsi="仿宋_GB2312" w:eastAsia="仿宋_GB2312" w:cs="仿宋_GB2312"/>
          <w:sz w:val="21"/>
          <w:szCs w:val="24"/>
          <w:highlight w:val="none"/>
        </w:rPr>
        <w:t xml:space="preserve">6. </w:t>
      </w:r>
      <w:r>
        <w:rPr>
          <w:rFonts w:hint="eastAsia" w:ascii="仿宋_GB2312" w:hAnsi="仿宋_GB2312" w:eastAsia="仿宋_GB2312" w:cs="仿宋_GB2312"/>
          <w:sz w:val="21"/>
          <w:szCs w:val="24"/>
          <w:highlight w:val="none"/>
          <w:lang w:val="en-US" w:eastAsia="zh-CN"/>
        </w:rPr>
        <w:t xml:space="preserve"> </w:t>
      </w:r>
      <w:r>
        <w:rPr>
          <w:rFonts w:hint="eastAsia" w:ascii="仿宋_GB2312" w:hAnsi="仿宋_GB2312" w:eastAsia="仿宋_GB2312" w:cs="仿宋_GB2312"/>
          <w:sz w:val="21"/>
          <w:szCs w:val="24"/>
          <w:highlight w:val="none"/>
        </w:rPr>
        <w:t>竞投语言及计量</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对不同文字文本竞投文件的解释发生异议的，以中文文本为准。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竞投文件内容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7.1 竞投人编写的竞投文件及排序应包括下列部分：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w:t>
      </w:r>
      <w:r>
        <w:rPr>
          <w:rFonts w:hint="eastAsia" w:ascii="仿宋_GB2312" w:hAnsi="仿宋_GB2312" w:eastAsia="仿宋_GB2312" w:cs="仿宋_GB2312"/>
          <w:szCs w:val="24"/>
          <w:highlight w:val="none"/>
          <w:lang w:val="en-US" w:eastAsia="zh-CN"/>
        </w:rPr>
        <w:t>竞投报价执行</w:t>
      </w:r>
      <w:r>
        <w:rPr>
          <w:rFonts w:hint="eastAsia" w:ascii="仿宋_GB2312" w:hAnsi="仿宋_GB2312" w:eastAsia="仿宋_GB2312" w:cs="仿宋_GB2312"/>
          <w:szCs w:val="24"/>
          <w:highlight w:val="none"/>
          <w:lang w:eastAsia="zh-CN"/>
        </w:rPr>
        <w:t>清单</w:t>
      </w:r>
      <w:r>
        <w:rPr>
          <w:rFonts w:hint="eastAsia" w:ascii="仿宋_GB2312" w:hAnsi="仿宋_GB2312" w:eastAsia="仿宋_GB2312" w:cs="仿宋_GB2312"/>
          <w:szCs w:val="24"/>
          <w:highlight w:val="none"/>
        </w:rPr>
        <w:t>（参考附件</w:t>
      </w:r>
      <w:r>
        <w:rPr>
          <w:rFonts w:hint="eastAsia" w:ascii="仿宋_GB2312" w:hAnsi="仿宋_GB2312" w:eastAsia="仿宋_GB2312" w:cs="仿宋_GB2312"/>
          <w:szCs w:val="24"/>
          <w:highlight w:val="none"/>
          <w:lang w:val="en-US" w:eastAsia="zh-CN"/>
        </w:rPr>
        <w:t>5</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w:t>
      </w:r>
      <w:r>
        <w:rPr>
          <w:rFonts w:hint="eastAsia" w:ascii="仿宋_GB2312" w:hAnsi="仿宋_GB2312" w:eastAsia="仿宋_GB2312" w:cs="仿宋_GB2312"/>
          <w:szCs w:val="24"/>
          <w:highlight w:val="none"/>
          <w:lang w:val="en-US" w:eastAsia="zh-CN"/>
        </w:rPr>
        <w:t>投</w:t>
      </w:r>
      <w:r>
        <w:rPr>
          <w:rFonts w:hint="eastAsia" w:ascii="仿宋_GB2312" w:hAnsi="仿宋_GB2312" w:eastAsia="仿宋_GB2312" w:cs="仿宋_GB2312"/>
          <w:szCs w:val="24"/>
          <w:highlight w:val="none"/>
        </w:rPr>
        <w:t>函（参考见附件2），法定代表人证明及授权书（参考附件3），竞投</w:t>
      </w:r>
      <w:r>
        <w:rPr>
          <w:rFonts w:hint="eastAsia" w:ascii="仿宋_GB2312" w:hAnsi="仿宋_GB2312" w:eastAsia="仿宋_GB2312" w:cs="仿宋_GB2312"/>
          <w:szCs w:val="24"/>
          <w:highlight w:val="none"/>
          <w:lang w:eastAsia="zh-CN"/>
        </w:rPr>
        <w:t>报价</w:t>
      </w:r>
      <w:r>
        <w:rPr>
          <w:rFonts w:hint="eastAsia" w:ascii="仿宋_GB2312" w:hAnsi="仿宋_GB2312" w:eastAsia="仿宋_GB2312" w:cs="仿宋_GB2312"/>
          <w:szCs w:val="24"/>
          <w:highlight w:val="none"/>
        </w:rPr>
        <w:t>表（参考附件4），资格文件声明的函（参考附件</w:t>
      </w:r>
      <w:r>
        <w:rPr>
          <w:rFonts w:hint="eastAsia" w:ascii="仿宋_GB2312" w:hAnsi="仿宋_GB2312" w:eastAsia="仿宋_GB2312" w:cs="仿宋_GB2312"/>
          <w:szCs w:val="24"/>
          <w:highlight w:val="none"/>
          <w:lang w:val="en-US" w:eastAsia="zh-CN"/>
        </w:rPr>
        <w:t>6</w:t>
      </w:r>
      <w:r>
        <w:rPr>
          <w:rFonts w:hint="eastAsia" w:ascii="仿宋_GB2312" w:hAnsi="仿宋_GB2312" w:eastAsia="仿宋_GB2312" w:cs="仿宋_GB2312"/>
          <w:szCs w:val="24"/>
          <w:highlight w:val="none"/>
        </w:rPr>
        <w:t>）及业绩一览表（参考见附件</w:t>
      </w:r>
      <w:r>
        <w:rPr>
          <w:rFonts w:hint="eastAsia" w:ascii="仿宋_GB2312" w:hAnsi="仿宋_GB2312" w:eastAsia="仿宋_GB2312" w:cs="仿宋_GB2312"/>
          <w:szCs w:val="24"/>
          <w:highlight w:val="none"/>
          <w:lang w:val="en-US" w:eastAsia="zh-CN"/>
        </w:rPr>
        <w:t>7</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代理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7.5参与本采购项目的竞投人须接受及保证，采购人在中华人民共和国境内使用</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竞投文件交付要求</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 迟于竞投截止时间递交的；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 以电报、电话、电传、传真或邮递形式递交的；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 密封不严、册装不整的；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r>
        <w:rPr>
          <w:rFonts w:ascii="Calibri" w:hAnsi="Calibri" w:eastAsia="宋体" w:cs="Times New Roman"/>
          <w:szCs w:val="21"/>
          <w:highlight w:val="none"/>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收件人名称：广州市城壹房地产代理有限公司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sz w:val="18"/>
                                <w:szCs w:val="18"/>
                                <w:lang w:val="en-US" w:eastAsia="zh-CN"/>
                              </w:rPr>
                              <w:t>花果山特色小镇有意思实验室活动</w:t>
                            </w:r>
                            <w:r>
                              <w:rPr>
                                <w:rFonts w:hint="eastAsia" w:ascii="微软雅黑" w:hAnsi="微软雅黑" w:eastAsia="微软雅黑" w:cs="仿宋_GB2312"/>
                                <w:sz w:val="18"/>
                                <w:szCs w:val="18"/>
                              </w:rPr>
                              <w:t>服务采购项目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收件人名称：广州市城壹房地产代理有限公司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sz w:val="18"/>
                          <w:szCs w:val="18"/>
                          <w:lang w:val="en-US" w:eastAsia="zh-CN"/>
                        </w:rPr>
                        <w:t>花果山特色小镇有意思实验室活动</w:t>
                      </w:r>
                      <w:r>
                        <w:rPr>
                          <w:rFonts w:hint="eastAsia" w:ascii="微软雅黑" w:hAnsi="微软雅黑" w:eastAsia="微软雅黑" w:cs="仿宋_GB2312"/>
                          <w:sz w:val="18"/>
                          <w:szCs w:val="18"/>
                        </w:rPr>
                        <w:t>服务采购项目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numPr>
          <w:ilvl w:val="0"/>
          <w:numId w:val="2"/>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采购方不退还竞投人的竞投文件及递交的其它资料。</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8.4竞投文件递交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（1）递交地点：广州市越秀区流花路流花展贸中心16号馆2楼。</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（2）竞投文件递交受理时间于202</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u w:val="none"/>
        </w:rPr>
        <w:t>月</w:t>
      </w:r>
      <w:r>
        <w:rPr>
          <w:rFonts w:hint="eastAsia" w:ascii="仿宋_GB2312" w:hAnsi="仿宋_GB2312" w:eastAsia="仿宋_GB2312" w:cs="仿宋_GB2312"/>
          <w:szCs w:val="21"/>
          <w:highlight w:val="none"/>
          <w:u w:val="none"/>
          <w:lang w:val="en-US" w:eastAsia="zh-CN"/>
        </w:rPr>
        <w:t>12</w:t>
      </w:r>
      <w:r>
        <w:rPr>
          <w:rFonts w:hint="eastAsia" w:ascii="仿宋_GB2312" w:hAnsi="仿宋_GB2312" w:eastAsia="仿宋_GB2312" w:cs="仿宋_GB2312"/>
          <w:szCs w:val="21"/>
          <w:highlight w:val="none"/>
        </w:rPr>
        <w:t>日上午</w:t>
      </w:r>
      <w:r>
        <w:rPr>
          <w:rFonts w:hint="eastAsia" w:ascii="仿宋_GB2312" w:hAnsi="仿宋_GB2312" w:eastAsia="仿宋_GB2312" w:cs="仿宋_GB2312"/>
          <w:szCs w:val="21"/>
          <w:highlight w:val="none"/>
          <w:lang w:val="en-US" w:eastAsia="zh-CN"/>
        </w:rPr>
        <w:t>9:00-9:30</w:t>
      </w:r>
      <w:r>
        <w:rPr>
          <w:rFonts w:hint="eastAsia" w:ascii="仿宋_GB2312" w:hAnsi="仿宋_GB2312" w:eastAsia="仿宋_GB2312" w:cs="仿宋_GB2312"/>
          <w:szCs w:val="21"/>
          <w:highlight w:val="none"/>
        </w:rPr>
        <w:t>；逾期不予受理。</w:t>
      </w:r>
    </w:p>
    <w:p>
      <w:pPr>
        <w:spacing w:line="400" w:lineRule="exact"/>
        <w:jc w:val="center"/>
        <w:rPr>
          <w:rFonts w:ascii="Calibri" w:hAnsi="Calibri" w:eastAsia="宋体" w:cs="Times New Roman"/>
          <w:szCs w:val="24"/>
          <w:highlight w:val="none"/>
        </w:rPr>
      </w:pPr>
      <w:r>
        <w:rPr>
          <w:rFonts w:ascii="Calibri" w:hAnsi="Calibri" w:eastAsia="宋体" w:cs="Times New Roman"/>
          <w:szCs w:val="24"/>
          <w:highlight w:val="none"/>
        </w:rPr>
        <w:br w:type="page"/>
      </w:r>
      <w:r>
        <w:rPr>
          <w:rFonts w:hint="eastAsia" w:ascii="仿宋_GB2312" w:hAnsi="Calibri" w:eastAsia="仿宋_GB2312" w:cs="Times New Roman"/>
          <w:b/>
          <w:sz w:val="32"/>
          <w:szCs w:val="32"/>
          <w:highlight w:val="none"/>
        </w:rPr>
        <w:t>三、评审/选定方法及标准</w:t>
      </w:r>
    </w:p>
    <w:p>
      <w:pPr>
        <w:spacing w:line="400" w:lineRule="exact"/>
        <w:rPr>
          <w:rFonts w:ascii="Calibri" w:hAnsi="Calibri" w:eastAsia="宋体" w:cs="Times New Roman"/>
          <w:szCs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按有关法律、法</w:t>
            </w:r>
            <w:r>
              <w:rPr>
                <w:rFonts w:hint="eastAsia" w:ascii="仿宋_GB2312" w:hAnsi="宋体" w:eastAsia="仿宋_GB2312" w:cs="Times New Roman"/>
                <w:szCs w:val="21"/>
                <w:highlight w:val="none"/>
                <w:lang w:eastAsia="zh-CN"/>
              </w:rPr>
              <w:t>规</w:t>
            </w:r>
            <w:r>
              <w:rPr>
                <w:rFonts w:hint="eastAsia" w:ascii="仿宋_GB2312" w:hAnsi="宋体" w:eastAsia="仿宋_GB2312" w:cs="Times New Roman"/>
                <w:szCs w:val="21"/>
                <w:highlight w:val="none"/>
              </w:rPr>
              <w:t>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评审标准</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1.评标小组评委由广州市城壹房地产代理有限公司相关人员组成，由评委对已通过符合性检查竞投人的竞投文件，逐项列出竞投文件的全部竞投偏差。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Times New Roman"/>
                <w:szCs w:val="21"/>
                <w:highlight w:val="none"/>
              </w:rPr>
              <w:t>2.</w:t>
            </w:r>
            <w:r>
              <w:rPr>
                <w:rFonts w:hint="eastAsia" w:ascii="仿宋_GB2312" w:hAnsi="宋体" w:eastAsia="仿宋_GB2312" w:cs="宋体"/>
                <w:kern w:val="0"/>
                <w:szCs w:val="21"/>
                <w:highlight w:val="none"/>
              </w:rPr>
              <w:t>商务评分：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3.项目方案评分：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5.综合得分：</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商务评分+项目方案评分+价格评分=综合得分。评委根据竞投人综合得分高低排定名次。</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6.评分按四舍五入原则精确到小数点后两位。</w:t>
            </w:r>
            <w:r>
              <w:rPr>
                <w:rFonts w:hint="eastAsia" w:ascii="仿宋_GB2312" w:hAnsi="宋体" w:eastAsia="仿宋_GB2312" w:cs="宋体"/>
                <w:kern w:val="0"/>
                <w:szCs w:val="21"/>
                <w:highlight w:val="none"/>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highlight w:val="none"/>
              </w:rPr>
              <w:t>商务评分</w:t>
            </w:r>
            <w:r>
              <w:rPr>
                <w:rFonts w:hint="eastAsia" w:ascii="仿宋_GB2312" w:hAnsi="宋体" w:eastAsia="仿宋_GB2312" w:cs="宋体"/>
                <w:kern w:val="0"/>
                <w:szCs w:val="21"/>
                <w:highlight w:val="none"/>
                <w:lang w:val="en-US" w:eastAsia="zh-CN"/>
              </w:rPr>
              <w:t>情况</w:t>
            </w:r>
            <w:r>
              <w:rPr>
                <w:rFonts w:hint="eastAsia" w:ascii="仿宋_GB2312" w:hAnsi="宋体" w:eastAsia="仿宋_GB2312" w:cs="Times New Roman"/>
                <w:szCs w:val="21"/>
                <w:highlight w:val="none"/>
              </w:rPr>
              <w:t>评分由高到低顺序排列。综合评分相同，且不含税报价、竞投报价和</w:t>
            </w:r>
            <w:r>
              <w:rPr>
                <w:rFonts w:hint="eastAsia" w:ascii="仿宋_GB2312" w:hAnsi="宋体" w:eastAsia="仿宋_GB2312" w:cs="Times New Roman"/>
                <w:szCs w:val="21"/>
                <w:highlight w:val="none"/>
                <w:lang w:val="en-US" w:eastAsia="zh-CN"/>
              </w:rPr>
              <w:t>商务</w:t>
            </w:r>
            <w:r>
              <w:rPr>
                <w:rFonts w:hint="eastAsia" w:ascii="仿宋_GB2312" w:hAnsi="宋体" w:eastAsia="仿宋_GB2312" w:cs="Times New Roman"/>
                <w:szCs w:val="21"/>
                <w:highlight w:val="none"/>
              </w:rPr>
              <w:t>评分均相同的，名次由评审人员会抽签决定。</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w:t>
            </w:r>
            <w:r>
              <w:rPr>
                <w:rFonts w:hint="eastAsia" w:ascii="Calibri" w:hAnsi="Calibri" w:eastAsia="宋体" w:cs="Times New Roman"/>
                <w:szCs w:val="24"/>
                <w:highlight w:val="none"/>
              </w:rPr>
              <w:t xml:space="preserve"> </w:t>
            </w:r>
            <w:r>
              <w:rPr>
                <w:rFonts w:hint="eastAsia" w:ascii="仿宋_GB2312" w:hAnsi="宋体" w:eastAsia="仿宋_GB2312" w:cs="宋体"/>
                <w:kern w:val="0"/>
                <w:szCs w:val="21"/>
                <w:highlight w:val="none"/>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highlight w:val="none"/>
        </w:rPr>
      </w:pPr>
      <w:r>
        <w:rPr>
          <w:rFonts w:ascii="宋体" w:hAnsi="宋体" w:eastAsia="黑体" w:cs="宋体"/>
          <w:sz w:val="24"/>
          <w:szCs w:val="24"/>
          <w:highlight w:val="none"/>
        </w:rPr>
        <w:br w:type="page"/>
      </w:r>
      <w:bookmarkStart w:id="6" w:name="_Toc334797765"/>
      <w:r>
        <w:rPr>
          <w:rFonts w:hint="eastAsia" w:ascii="宋体" w:hAnsi="宋体" w:eastAsia="黑体" w:cs="宋体"/>
          <w:sz w:val="24"/>
          <w:szCs w:val="24"/>
          <w:highlight w:val="none"/>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highlight w:val="none"/>
        </w:rPr>
      </w:pPr>
      <w:bookmarkStart w:id="7" w:name="OLE_LINK2"/>
      <w:bookmarkStart w:id="8" w:name="OLE_LINK3"/>
      <w:r>
        <w:rPr>
          <w:rFonts w:hint="eastAsia" w:ascii="仿宋_GB2312" w:hAnsi="宋体" w:eastAsia="仿宋_GB2312" w:cs="宋体"/>
          <w:b/>
          <w:bCs/>
          <w:sz w:val="30"/>
          <w:szCs w:val="30"/>
          <w:highlight w:val="none"/>
        </w:rPr>
        <w:t>符合性检查表</w:t>
      </w:r>
      <w:bookmarkEnd w:id="6"/>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序号</w:t>
            </w:r>
          </w:p>
        </w:tc>
        <w:tc>
          <w:tcPr>
            <w:tcW w:w="4820"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Cs/>
                <w:szCs w:val="21"/>
                <w:highlight w:val="none"/>
              </w:rPr>
              <w:t>检查内容</w:t>
            </w:r>
          </w:p>
        </w:tc>
        <w:tc>
          <w:tcPr>
            <w:tcW w:w="134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竞投人A</w:t>
            </w:r>
          </w:p>
        </w:tc>
        <w:tc>
          <w:tcPr>
            <w:tcW w:w="1417"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竞投人B</w:t>
            </w:r>
          </w:p>
        </w:tc>
        <w:tc>
          <w:tcPr>
            <w:tcW w:w="127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4820" w:type="dxa"/>
            <w:vAlign w:val="center"/>
          </w:tcPr>
          <w:p>
            <w:pPr>
              <w:spacing w:line="400" w:lineRule="exact"/>
              <w:rPr>
                <w:rFonts w:ascii="仿宋_GB2312" w:hAnsi="宋体" w:eastAsia="宋体" w:cs="Times New Roman"/>
                <w:szCs w:val="21"/>
                <w:highlight w:val="none"/>
              </w:rPr>
            </w:pPr>
            <w:r>
              <w:rPr>
                <w:rFonts w:hint="eastAsia" w:ascii="仿宋_GB2312" w:hAnsi="宋体" w:eastAsia="仿宋_GB2312" w:cs="Times New Roman"/>
                <w:szCs w:val="21"/>
                <w:highlight w:val="none"/>
              </w:rPr>
              <w:t>有效法人证明书及授权委托书。</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4</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竞投人需在提交竞投文件时提供</w:t>
            </w:r>
            <w:r>
              <w:rPr>
                <w:rFonts w:hint="eastAsia" w:ascii="仿宋_GB2312" w:hAnsi="宋体" w:eastAsia="仿宋_GB2312" w:cs="Times New Roman"/>
                <w:szCs w:val="21"/>
                <w:highlight w:val="none"/>
                <w:lang w:eastAsia="zh-CN"/>
              </w:rPr>
              <w:t>执行物料清单</w:t>
            </w:r>
            <w:r>
              <w:rPr>
                <w:rFonts w:hint="eastAsia" w:ascii="仿宋_GB2312" w:hAnsi="宋体" w:eastAsia="仿宋_GB2312" w:cs="Times New Roman"/>
                <w:szCs w:val="21"/>
                <w:highlight w:val="none"/>
              </w:rPr>
              <w:t>。</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结论（通过/不通过）</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bl>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竞投人分栏中填写“√”表示该项符合竞投文件要求，“×”表示该项目不符合竞投文件要求。</w:t>
      </w:r>
    </w:p>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结论栏中填写“通过”表示该竞投人竞投文件符合要求，“×”表示该竞投人竞投文件不符合要求。</w:t>
      </w:r>
    </w:p>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评委签名：</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价格及业绩评分评审表</w:t>
      </w:r>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提供相应合同或中标通知书等相关证明文件</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50分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以通过本项目资格及符合性检查且若位于[项目限价*80%，项目限价]区间的</w:t>
            </w:r>
            <w:r>
              <w:rPr>
                <w:rFonts w:hint="eastAsia" w:ascii="仿宋_GB2312" w:hAnsi="宋体" w:eastAsia="仿宋_GB2312" w:cs="宋体"/>
                <w:kern w:val="0"/>
                <w:szCs w:val="21"/>
                <w:highlight w:val="none"/>
                <w:lang w:val="en-US" w:eastAsia="zh-CN"/>
              </w:rPr>
              <w:t>最低</w:t>
            </w:r>
            <w:r>
              <w:rPr>
                <w:rFonts w:hint="eastAsia" w:ascii="仿宋_GB2312" w:hAnsi="宋体" w:eastAsia="仿宋_GB2312" w:cs="宋体"/>
                <w:kern w:val="0"/>
                <w:szCs w:val="21"/>
                <w:highlight w:val="none"/>
              </w:rPr>
              <w:t>竞投报价（不含税，下同）为评标基准价得50分，其余报价单位的报价每高于评标基准价5%，扣2分，未达到5%按5%扣取，得出经济分，精确到小数点后两位。凡不在本项目设置的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hint="eastAsia" w:ascii="Calibri" w:hAnsi="Calibri" w:eastAsia="宋体" w:cs="Times New Roman"/>
          <w:szCs w:val="24"/>
          <w:highlight w:val="none"/>
        </w:rPr>
      </w:pPr>
      <w:r>
        <w:rPr>
          <w:rFonts w:hint="eastAsia" w:ascii="Calibri" w:hAnsi="Calibri" w:eastAsia="宋体" w:cs="Times New Roman"/>
          <w:szCs w:val="24"/>
          <w:highlight w:val="none"/>
        </w:rPr>
        <w:t>评委签名：</w:t>
      </w:r>
    </w:p>
    <w:p>
      <w:pPr>
        <w:rPr>
          <w:rFonts w:hint="eastAsia" w:ascii="Calibri" w:hAnsi="Calibri" w:eastAsia="宋体" w:cs="Times New Roman"/>
          <w:szCs w:val="24"/>
          <w:highlight w:val="none"/>
        </w:rPr>
      </w:pPr>
    </w:p>
    <w:p>
      <w:pPr>
        <w:jc w:val="center"/>
        <w:rPr>
          <w:rFonts w:hint="eastAsia" w:ascii="仿宋_GB2312" w:hAnsi="宋体" w:eastAsia="仿宋_GB2312" w:cs="宋体"/>
          <w:b/>
          <w:bCs/>
          <w:sz w:val="30"/>
          <w:szCs w:val="30"/>
          <w:highlight w:val="none"/>
        </w:rPr>
      </w:pPr>
    </w:p>
    <w:p>
      <w:pPr>
        <w:jc w:val="center"/>
        <w:rPr>
          <w:rFonts w:ascii="Calibri" w:hAnsi="Calibri" w:eastAsia="宋体" w:cs="Times New Roman"/>
          <w:szCs w:val="24"/>
          <w:highlight w:val="none"/>
        </w:rPr>
      </w:pPr>
      <w:r>
        <w:rPr>
          <w:rFonts w:hint="eastAsia" w:ascii="仿宋_GB2312" w:hAnsi="宋体" w:eastAsia="仿宋_GB2312" w:cs="宋体"/>
          <w:b/>
          <w:bCs/>
          <w:sz w:val="30"/>
          <w:szCs w:val="30"/>
          <w:highlight w:val="none"/>
        </w:rPr>
        <w:t xml:space="preserve">项目方案评审表 </w:t>
      </w:r>
      <w:r>
        <w:rPr>
          <w:rFonts w:hint="eastAsia" w:ascii="Calibri" w:hAnsi="Calibri" w:eastAsia="宋体" w:cs="Times New Roman"/>
          <w:szCs w:val="24"/>
          <w:highlight w:val="none"/>
        </w:rPr>
        <w:t xml:space="preserve">            </w:t>
      </w:r>
    </w:p>
    <w:p>
      <w:pPr>
        <w:jc w:val="right"/>
        <w:rPr>
          <w:rFonts w:hint="eastAsia" w:ascii="宋体" w:hAnsi="宋体" w:eastAsia="宋体" w:cs="宋体"/>
          <w:b/>
          <w:sz w:val="32"/>
          <w:szCs w:val="32"/>
          <w:highlight w:val="none"/>
        </w:rPr>
      </w:pPr>
      <w:r>
        <w:rPr>
          <w:rFonts w:hint="eastAsia" w:ascii="Calibri" w:hAnsi="Calibri" w:eastAsia="宋体" w:cs="Times New Roman"/>
          <w:szCs w:val="24"/>
          <w:highlight w:val="none"/>
        </w:rPr>
        <w:t xml:space="preserve">日期：    年  月 </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规划</w:t>
            </w:r>
            <w:r>
              <w:rPr>
                <w:rFonts w:hint="eastAsia" w:ascii="仿宋_GB2312" w:hAnsi="宋体" w:eastAsia="仿宋_GB2312" w:cs="宋体"/>
                <w:kern w:val="0"/>
                <w:szCs w:val="21"/>
                <w:highlight w:val="none"/>
              </w:rPr>
              <w:t>完整性</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规划全面</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包括但不限于</w:t>
            </w:r>
            <w:r>
              <w:rPr>
                <w:rFonts w:hint="eastAsia" w:ascii="仿宋_GB2312" w:hAnsi="宋体" w:eastAsia="仿宋_GB2312" w:cs="宋体"/>
                <w:kern w:val="0"/>
                <w:szCs w:val="21"/>
                <w:highlight w:val="none"/>
                <w:lang w:val="en-US" w:eastAsia="zh-CN"/>
              </w:rPr>
              <w:t>活动物料</w:t>
            </w:r>
            <w:r>
              <w:rPr>
                <w:rFonts w:hint="eastAsia" w:ascii="仿宋_GB2312" w:hAnsi="宋体" w:eastAsia="仿宋_GB2312" w:cs="宋体"/>
                <w:kern w:val="0"/>
                <w:szCs w:val="21"/>
                <w:highlight w:val="none"/>
                <w:lang w:eastAsia="zh-CN"/>
              </w:rPr>
              <w:t>设计、区域模块布置</w:t>
            </w:r>
            <w:r>
              <w:rPr>
                <w:rFonts w:hint="eastAsia" w:ascii="仿宋_GB2312" w:hAnsi="宋体" w:eastAsia="仿宋_GB2312" w:cs="宋体"/>
                <w:kern w:val="0"/>
                <w:szCs w:val="21"/>
                <w:highlight w:val="none"/>
                <w:lang w:val="en-US" w:eastAsia="zh-CN"/>
              </w:rPr>
              <w:t>、铺装执行和人工运输</w:t>
            </w:r>
            <w:r>
              <w:rPr>
                <w:rFonts w:hint="eastAsia" w:ascii="仿宋_GB2312" w:hAnsi="宋体" w:eastAsia="仿宋_GB2312" w:cs="宋体"/>
                <w:kern w:val="0"/>
                <w:szCs w:val="21"/>
                <w:highlight w:val="none"/>
              </w:rPr>
              <w:t>等。优：11-15分；良：6-10分；差:0-5分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设计</w:t>
            </w:r>
            <w:r>
              <w:rPr>
                <w:rFonts w:hint="eastAsia" w:ascii="仿宋_GB2312" w:hAnsi="宋体" w:eastAsia="仿宋_GB2312" w:cs="宋体"/>
                <w:kern w:val="0"/>
                <w:szCs w:val="21"/>
                <w:highlight w:val="none"/>
              </w:rPr>
              <w:t>合理性</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物料</w:t>
            </w:r>
            <w:r>
              <w:rPr>
                <w:rFonts w:hint="eastAsia" w:ascii="仿宋_GB2312" w:hAnsi="宋体" w:eastAsia="仿宋_GB2312" w:cs="宋体"/>
                <w:kern w:val="0"/>
                <w:szCs w:val="21"/>
                <w:highlight w:val="none"/>
                <w:lang w:eastAsia="zh-CN"/>
              </w:rPr>
              <w:t>设计合理。</w:t>
            </w:r>
            <w:r>
              <w:rPr>
                <w:rFonts w:hint="eastAsia" w:ascii="仿宋_GB2312" w:hAnsi="宋体" w:eastAsia="仿宋_GB2312" w:cs="宋体"/>
                <w:kern w:val="0"/>
                <w:szCs w:val="21"/>
                <w:highlight w:val="none"/>
              </w:rPr>
              <w:t>符合</w:t>
            </w:r>
            <w:r>
              <w:rPr>
                <w:rFonts w:hint="eastAsia" w:ascii="仿宋_GB2312" w:hAnsi="宋体" w:eastAsia="仿宋_GB2312" w:cs="宋体"/>
                <w:kern w:val="0"/>
                <w:szCs w:val="21"/>
                <w:highlight w:val="none"/>
                <w:lang w:val="en-US" w:eastAsia="zh-CN"/>
              </w:rPr>
              <w:t>活动</w:t>
            </w:r>
            <w:r>
              <w:rPr>
                <w:rFonts w:hint="eastAsia" w:ascii="仿宋_GB2312" w:hAnsi="宋体" w:eastAsia="仿宋_GB2312" w:cs="宋体"/>
                <w:kern w:val="0"/>
                <w:szCs w:val="21"/>
                <w:highlight w:val="none"/>
                <w:lang w:eastAsia="zh-CN"/>
              </w:rPr>
              <w:t>要求和目的</w:t>
            </w:r>
            <w:r>
              <w:rPr>
                <w:rFonts w:hint="eastAsia" w:ascii="仿宋_GB2312" w:hAnsi="宋体" w:eastAsia="仿宋_GB2312" w:cs="宋体"/>
                <w:kern w:val="0"/>
                <w:szCs w:val="21"/>
                <w:highlight w:val="none"/>
              </w:rPr>
              <w:t>。优：11-15分；良：6-10分；差:0-5分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项目亮点</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存</w:t>
            </w:r>
            <w:r>
              <w:rPr>
                <w:rFonts w:hint="eastAsia" w:ascii="仿宋_GB2312" w:hAnsi="宋体" w:eastAsia="仿宋_GB2312" w:cs="宋体"/>
                <w:kern w:val="0"/>
                <w:szCs w:val="21"/>
                <w:highlight w:val="none"/>
              </w:rPr>
              <w:t>有亮点</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包括但不限于</w:t>
            </w:r>
            <w:r>
              <w:rPr>
                <w:rFonts w:hint="eastAsia" w:ascii="仿宋_GB2312" w:hAnsi="宋体" w:eastAsia="仿宋_GB2312" w:cs="宋体"/>
                <w:kern w:val="0"/>
                <w:szCs w:val="21"/>
                <w:highlight w:val="none"/>
                <w:lang w:val="en-US" w:eastAsia="zh-CN"/>
              </w:rPr>
              <w:t>活动物料</w:t>
            </w:r>
            <w:r>
              <w:rPr>
                <w:rFonts w:hint="eastAsia" w:ascii="仿宋_GB2312" w:hAnsi="宋体" w:eastAsia="仿宋_GB2312" w:cs="宋体"/>
                <w:kern w:val="0"/>
                <w:szCs w:val="21"/>
                <w:highlight w:val="none"/>
                <w:lang w:eastAsia="zh-CN"/>
              </w:rPr>
              <w:t>设计、区域模块布置</w:t>
            </w:r>
            <w:r>
              <w:rPr>
                <w:rFonts w:hint="eastAsia" w:ascii="仿宋_GB2312" w:hAnsi="宋体" w:eastAsia="仿宋_GB2312" w:cs="宋体"/>
                <w:kern w:val="0"/>
                <w:szCs w:val="21"/>
                <w:highlight w:val="none"/>
                <w:lang w:val="en-US" w:eastAsia="zh-CN"/>
              </w:rPr>
              <w:t>、铺装执行中的各个亮点优势</w:t>
            </w:r>
            <w:r>
              <w:rPr>
                <w:rFonts w:hint="eastAsia" w:ascii="仿宋_GB2312" w:hAnsi="宋体" w:eastAsia="仿宋_GB2312" w:cs="宋体"/>
                <w:kern w:val="0"/>
                <w:szCs w:val="21"/>
                <w:highlight w:val="none"/>
              </w:rPr>
              <w:t>。优：7-10分；良：4-6分；差:0-3分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bookmarkEnd w:id="7"/>
    <w:bookmarkEnd w:id="8"/>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p>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有效竞投人名称</w:t>
            </w:r>
          </w:p>
        </w:tc>
        <w:tc>
          <w:tcPr>
            <w:tcW w:w="228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商务</w:t>
            </w:r>
            <w:r>
              <w:rPr>
                <w:rFonts w:hint="eastAsia" w:ascii="仿宋_GB2312" w:hAnsi="宋体" w:eastAsia="仿宋_GB2312" w:cs="宋体"/>
                <w:kern w:val="0"/>
                <w:szCs w:val="21"/>
                <w:highlight w:val="none"/>
              </w:rPr>
              <w:t>得分</w:t>
            </w:r>
          </w:p>
        </w:tc>
        <w:tc>
          <w:tcPr>
            <w:tcW w:w="1532"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价格得分</w:t>
            </w:r>
          </w:p>
        </w:tc>
        <w:tc>
          <w:tcPr>
            <w:tcW w:w="186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项目方案得分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总得分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p>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p>
      <w:pPr>
        <w:spacing w:line="400" w:lineRule="exact"/>
        <w:jc w:val="center"/>
        <w:rPr>
          <w:rFonts w:ascii="仿宋_GB2312" w:hAnsi="宋体" w:eastAsia="仿宋_GB2312" w:cs="宋体"/>
          <w:bCs/>
          <w:sz w:val="36"/>
          <w:szCs w:val="36"/>
          <w:highlight w:val="none"/>
        </w:rPr>
      </w:pPr>
      <w:r>
        <w:rPr>
          <w:rFonts w:ascii="Calibri" w:hAnsi="Calibri" w:eastAsia="宋体" w:cs="Times New Roman"/>
          <w:sz w:val="36"/>
          <w:szCs w:val="36"/>
          <w:highlight w:val="none"/>
        </w:rPr>
        <w:br w:type="page"/>
      </w:r>
      <w:r>
        <w:rPr>
          <w:rFonts w:hint="eastAsia" w:ascii="仿宋_GB2312" w:hAnsi="Calibri" w:eastAsia="仿宋_GB2312" w:cs="Times New Roman"/>
          <w:b/>
          <w:sz w:val="36"/>
          <w:szCs w:val="36"/>
          <w:highlight w:val="none"/>
        </w:rPr>
        <w:t>四、采购合同/协议</w:t>
      </w:r>
    </w:p>
    <w:p>
      <w:pPr>
        <w:keepNext/>
        <w:spacing w:line="400" w:lineRule="exact"/>
        <w:ind w:right="-441" w:rightChars="-210"/>
        <w:jc w:val="center"/>
        <w:outlineLvl w:val="0"/>
        <w:rPr>
          <w:rFonts w:ascii="仿宋_GB2312" w:hAnsi="宋体" w:eastAsia="仿宋_GB2312" w:cs="宋体"/>
          <w:bCs/>
          <w:kern w:val="44"/>
          <w:szCs w:val="21"/>
          <w:highlight w:val="none"/>
        </w:rPr>
      </w:pPr>
      <w:r>
        <w:rPr>
          <w:rFonts w:hint="eastAsia" w:ascii="仿宋_GB2312" w:hAnsi="宋体" w:eastAsia="仿宋_GB2312" w:cs="宋体"/>
          <w:bCs/>
          <w:kern w:val="44"/>
          <w:szCs w:val="21"/>
          <w:highlight w:val="none"/>
        </w:rPr>
        <w:t>（参考样本，未经采购人同意中选人不能对合同条款作实质性修改）</w:t>
      </w:r>
    </w:p>
    <w:p>
      <w:pPr>
        <w:spacing w:line="400" w:lineRule="exact"/>
        <w:rPr>
          <w:rFonts w:ascii="仿宋_GB2312" w:hAnsi="Calibri" w:eastAsia="仿宋_GB2312" w:cs="Times New Roman"/>
          <w:szCs w:val="24"/>
          <w:highlight w:val="none"/>
        </w:rPr>
      </w:pPr>
    </w:p>
    <w:p>
      <w:pPr>
        <w:spacing w:line="400" w:lineRule="exact"/>
        <w:rPr>
          <w:rFonts w:ascii="仿宋_GB2312" w:hAnsi="Calibri" w:eastAsia="仿宋_GB2312" w:cs="Times New Roman"/>
          <w:szCs w:val="24"/>
          <w:highlight w:val="none"/>
        </w:rPr>
      </w:pPr>
    </w:p>
    <w:p>
      <w:pPr>
        <w:tabs>
          <w:tab w:val="left" w:pos="3960"/>
        </w:tabs>
        <w:spacing w:line="400" w:lineRule="exact"/>
        <w:ind w:right="420" w:rightChars="200"/>
        <w:jc w:val="center"/>
        <w:rPr>
          <w:rFonts w:ascii="仿宋_GB2312" w:hAnsi="Arial" w:eastAsia="仿宋_GB2312" w:cs="Arial"/>
          <w:b/>
          <w:sz w:val="30"/>
          <w:szCs w:val="30"/>
          <w:highlight w:val="none"/>
        </w:rPr>
      </w:pPr>
    </w:p>
    <w:p>
      <w:pPr>
        <w:spacing w:line="360" w:lineRule="auto"/>
        <w:ind w:right="-1758" w:rightChars="-837"/>
        <w:jc w:val="center"/>
        <w:rPr>
          <w:rFonts w:ascii="微软雅黑" w:hAnsi="微软雅黑" w:eastAsia="微软雅黑" w:cs="Times New Roman"/>
          <w:b/>
          <w:bCs/>
          <w:sz w:val="36"/>
          <w:szCs w:val="36"/>
          <w:highlight w:val="none"/>
        </w:rPr>
      </w:pPr>
    </w:p>
    <w:p>
      <w:pPr>
        <w:spacing w:line="360" w:lineRule="auto"/>
        <w:rPr>
          <w:rFonts w:ascii="微软雅黑" w:hAnsi="微软雅黑" w:eastAsia="微软雅黑" w:cs="Times New Roman"/>
          <w:b/>
          <w:bCs/>
          <w:sz w:val="36"/>
          <w:szCs w:val="36"/>
          <w:highlight w:val="none"/>
        </w:rPr>
      </w:pPr>
    </w:p>
    <w:tbl>
      <w:tblPr>
        <w:tblStyle w:val="6"/>
        <w:tblW w:w="9073" w:type="dxa"/>
        <w:tblInd w:w="0" w:type="dxa"/>
        <w:tblLayout w:type="fixed"/>
        <w:tblCellMar>
          <w:top w:w="0" w:type="dxa"/>
          <w:left w:w="0" w:type="dxa"/>
          <w:bottom w:w="0" w:type="dxa"/>
          <w:right w:w="0" w:type="dxa"/>
        </w:tblCellMar>
      </w:tblPr>
      <w:tblGrid>
        <w:gridCol w:w="9073"/>
      </w:tblGrid>
      <w:tr>
        <w:tblPrEx>
          <w:tblCellMar>
            <w:top w:w="0" w:type="dxa"/>
            <w:left w:w="0" w:type="dxa"/>
            <w:bottom w:w="0" w:type="dxa"/>
            <w:right w:w="0" w:type="dxa"/>
          </w:tblCellMar>
        </w:tblPrEx>
        <w:trPr>
          <w:trHeight w:val="1323" w:hRule="atLeast"/>
        </w:trPr>
        <w:tc>
          <w:tcPr>
            <w:tcW w:w="9073" w:type="dxa"/>
          </w:tcPr>
          <w:p>
            <w:pPr>
              <w:widowControl/>
              <w:jc w:val="left"/>
              <w:rPr>
                <w:rFonts w:ascii="微软雅黑" w:hAnsi="微软雅黑" w:eastAsia="微软雅黑" w:cs="Calibri"/>
                <w:kern w:val="0"/>
                <w:sz w:val="16"/>
                <w:szCs w:val="16"/>
                <w:highlight w:val="none"/>
              </w:rPr>
            </w:pPr>
          </w:p>
        </w:tc>
      </w:tr>
      <w:tr>
        <w:tblPrEx>
          <w:tblCellMar>
            <w:top w:w="0" w:type="dxa"/>
            <w:left w:w="0" w:type="dxa"/>
            <w:bottom w:w="0" w:type="dxa"/>
            <w:right w:w="0" w:type="dxa"/>
          </w:tblCellMar>
        </w:tblPrEx>
        <w:trPr>
          <w:trHeight w:val="4322" w:hRule="exact"/>
        </w:trPr>
        <w:tc>
          <w:tcPr>
            <w:tcW w:w="9073" w:type="dxa"/>
          </w:tcPr>
          <w:p>
            <w:pPr>
              <w:spacing w:line="276" w:lineRule="auto"/>
              <w:jc w:val="center"/>
              <w:rPr>
                <w:rFonts w:hint="eastAsia" w:ascii="微软雅黑" w:hAnsi="微软雅黑" w:eastAsia="微软雅黑" w:cs="Calibri"/>
                <w:b/>
                <w:kern w:val="0"/>
                <w:sz w:val="56"/>
                <w:szCs w:val="56"/>
                <w:highlight w:val="none"/>
                <w:lang w:val="en-US" w:eastAsia="zh-CN"/>
              </w:rPr>
            </w:pPr>
            <w:r>
              <w:rPr>
                <w:rFonts w:hint="eastAsia" w:ascii="微软雅黑" w:hAnsi="微软雅黑" w:eastAsia="微软雅黑" w:cs="Calibri"/>
                <w:b/>
                <w:kern w:val="0"/>
                <w:sz w:val="56"/>
                <w:szCs w:val="56"/>
                <w:highlight w:val="none"/>
                <w:lang w:val="en-US" w:eastAsia="zh-CN"/>
              </w:rPr>
              <w:t>花果山特色小镇有意思实验室活动</w:t>
            </w:r>
          </w:p>
          <w:p>
            <w:pPr>
              <w:spacing w:line="276" w:lineRule="auto"/>
              <w:jc w:val="center"/>
              <w:rPr>
                <w:rFonts w:ascii="微软雅黑" w:hAnsi="微软雅黑" w:eastAsia="微软雅黑" w:cs="Calibri"/>
                <w:b/>
                <w:kern w:val="0"/>
                <w:sz w:val="56"/>
                <w:szCs w:val="16"/>
                <w:highlight w:val="none"/>
              </w:rPr>
            </w:pPr>
            <w:r>
              <w:rPr>
                <w:rFonts w:hint="eastAsia" w:ascii="微软雅黑" w:hAnsi="微软雅黑" w:eastAsia="微软雅黑" w:cs="Calibri"/>
                <w:b/>
                <w:kern w:val="0"/>
                <w:sz w:val="56"/>
                <w:szCs w:val="56"/>
                <w:highlight w:val="none"/>
              </w:rPr>
              <w:t>服务合同</w:t>
            </w:r>
          </w:p>
        </w:tc>
      </w:tr>
      <w:tr>
        <w:tblPrEx>
          <w:tblCellMar>
            <w:top w:w="0" w:type="dxa"/>
            <w:left w:w="0" w:type="dxa"/>
            <w:bottom w:w="0" w:type="dxa"/>
            <w:right w:w="0" w:type="dxa"/>
          </w:tblCellMar>
        </w:tblPrEx>
        <w:trPr>
          <w:trHeight w:val="2551" w:hRule="atLeast"/>
        </w:trPr>
        <w:tc>
          <w:tcPr>
            <w:tcW w:w="9073" w:type="dxa"/>
          </w:tcPr>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tc>
      </w:tr>
      <w:tr>
        <w:tblPrEx>
          <w:tblCellMar>
            <w:top w:w="0" w:type="dxa"/>
            <w:left w:w="0" w:type="dxa"/>
            <w:bottom w:w="0" w:type="dxa"/>
            <w:right w:w="0" w:type="dxa"/>
          </w:tblCellMar>
        </w:tblPrEx>
        <w:trPr>
          <w:trHeight w:val="568" w:hRule="atLeast"/>
        </w:trPr>
        <w:tc>
          <w:tcPr>
            <w:tcW w:w="9073" w:type="dxa"/>
          </w:tcPr>
          <w:p>
            <w:pPr>
              <w:widowControl/>
              <w:spacing w:line="360" w:lineRule="atLeast"/>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b/>
                <w:kern w:val="0"/>
                <w:sz w:val="24"/>
                <w:szCs w:val="24"/>
                <w:highlight w:val="none"/>
              </w:rPr>
            </w:pPr>
            <w:r>
              <w:rPr>
                <w:rFonts w:hint="eastAsia" w:ascii="微软雅黑" w:hAnsi="微软雅黑" w:eastAsia="微软雅黑" w:cs="Calibri"/>
                <w:b/>
                <w:kern w:val="0"/>
                <w:sz w:val="24"/>
                <w:szCs w:val="24"/>
                <w:highlight w:val="none"/>
              </w:rPr>
              <w:t>广州市城壹房地产代理有限公司</w:t>
            </w:r>
          </w:p>
          <w:p>
            <w:pPr>
              <w:widowControl/>
              <w:spacing w:line="276" w:lineRule="auto"/>
              <w:jc w:val="center"/>
              <w:rPr>
                <w:rFonts w:ascii="微软雅黑" w:hAnsi="微软雅黑" w:eastAsia="微软雅黑" w:cs="Calibri"/>
                <w:b/>
                <w:kern w:val="0"/>
                <w:sz w:val="32"/>
                <w:szCs w:val="16"/>
                <w:highlight w:val="none"/>
              </w:rPr>
            </w:pPr>
          </w:p>
        </w:tc>
      </w:tr>
    </w:tbl>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甲方：</w:t>
      </w:r>
      <w:r>
        <w:rPr>
          <w:rFonts w:ascii="微软雅黑" w:hAnsi="微软雅黑" w:eastAsia="微软雅黑" w:cs="Times New Roman"/>
          <w:b/>
          <w:bCs/>
          <w:szCs w:val="21"/>
          <w:highlight w:val="none"/>
        </w:rPr>
        <w:t xml:space="preserve"> </w:t>
      </w:r>
      <w:r>
        <w:rPr>
          <w:rFonts w:hint="eastAsia" w:ascii="微软雅黑" w:hAnsi="微软雅黑" w:eastAsia="微软雅黑" w:cs="Times New Roman"/>
          <w:b/>
          <w:bCs/>
          <w:szCs w:val="21"/>
          <w:highlight w:val="none"/>
        </w:rPr>
        <w:t>广州市城壹房地产代理有限公司</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地址：广州市越</w:t>
      </w:r>
      <w:bookmarkStart w:id="14" w:name="_GoBack"/>
      <w:bookmarkEnd w:id="14"/>
      <w:r>
        <w:rPr>
          <w:rFonts w:hint="eastAsia" w:ascii="微软雅黑" w:hAnsi="微软雅黑" w:eastAsia="微软雅黑" w:cs="Times New Roman"/>
          <w:b/>
          <w:bCs/>
          <w:szCs w:val="21"/>
          <w:highlight w:val="none"/>
        </w:rPr>
        <w:t>秀区流花路117号16号馆2楼</w:t>
      </w:r>
    </w:p>
    <w:p>
      <w:pPr>
        <w:spacing w:line="360" w:lineRule="auto"/>
        <w:rPr>
          <w:rFonts w:hint="default" w:ascii="微软雅黑" w:hAnsi="微软雅黑" w:eastAsia="微软雅黑" w:cs="Times New Roman"/>
          <w:b/>
          <w:bCs/>
          <w:szCs w:val="21"/>
          <w:highlight w:val="none"/>
          <w:lang w:val="en-US" w:eastAsia="zh-CN"/>
        </w:rPr>
      </w:pPr>
      <w:r>
        <w:rPr>
          <w:rFonts w:hint="eastAsia" w:ascii="微软雅黑" w:hAnsi="微软雅黑" w:eastAsia="微软雅黑" w:cs="Times New Roman"/>
          <w:b/>
          <w:bCs/>
          <w:szCs w:val="21"/>
          <w:highlight w:val="none"/>
        </w:rPr>
        <w:t>法人代表：</w:t>
      </w:r>
      <w:r>
        <w:rPr>
          <w:rFonts w:hint="eastAsia" w:ascii="微软雅黑" w:hAnsi="微软雅黑" w:eastAsia="微软雅黑" w:cs="Times New Roman"/>
          <w:b/>
          <w:bCs/>
          <w:szCs w:val="21"/>
          <w:highlight w:val="none"/>
          <w:lang w:val="en-US" w:eastAsia="zh-CN"/>
        </w:rPr>
        <w:t>杨晓伟</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020-26080188</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乙方：</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法人代表：</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甲乙双方本着互惠互利、公平合理的原则，经友好协商，现就甲方</w:t>
      </w:r>
      <w:r>
        <w:rPr>
          <w:rFonts w:hint="eastAsia" w:ascii="微软雅黑" w:hAnsi="微软雅黑" w:eastAsia="微软雅黑" w:cs="Times New Roman"/>
          <w:b/>
          <w:bCs/>
          <w:sz w:val="21"/>
          <w:szCs w:val="21"/>
          <w:highlight w:val="none"/>
          <w:lang w:val="en-US" w:eastAsia="zh-CN"/>
        </w:rPr>
        <w:t>花果山特色小镇有意思实验室活动</w:t>
      </w:r>
      <w:r>
        <w:rPr>
          <w:rFonts w:hint="eastAsia" w:ascii="微软雅黑" w:hAnsi="微软雅黑" w:eastAsia="微软雅黑" w:cs="Times New Roman"/>
          <w:b/>
          <w:bCs/>
          <w:szCs w:val="21"/>
          <w:highlight w:val="none"/>
        </w:rPr>
        <w:t xml:space="preserve">服务采购项目（以下简称“本项目”）与乙方签约如下： </w:t>
      </w:r>
    </w:p>
    <w:p>
      <w:pPr>
        <w:snapToGrid w:val="0"/>
        <w:spacing w:line="360" w:lineRule="auto"/>
        <w:rPr>
          <w:rFonts w:ascii="微软雅黑" w:hAnsi="微软雅黑" w:eastAsia="微软雅黑" w:cs="Times New Roman"/>
          <w:b/>
          <w:bCs/>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第一条、项目名称及地址</w:t>
      </w:r>
    </w:p>
    <w:p>
      <w:pPr>
        <w:numPr>
          <w:ilvl w:val="0"/>
          <w:numId w:val="4"/>
        </w:num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项目名称：</w:t>
      </w:r>
      <w:r>
        <w:rPr>
          <w:rFonts w:hint="eastAsia" w:ascii="微软雅黑" w:hAnsi="微软雅黑" w:eastAsia="微软雅黑" w:cs="Times New Roman"/>
          <w:sz w:val="21"/>
          <w:szCs w:val="21"/>
          <w:highlight w:val="none"/>
          <w:lang w:val="en-US" w:eastAsia="zh-CN"/>
        </w:rPr>
        <w:t>花果山特色小镇有意思实验室活动</w:t>
      </w:r>
      <w:r>
        <w:rPr>
          <w:rFonts w:hint="eastAsia" w:ascii="微软雅黑" w:hAnsi="微软雅黑" w:eastAsia="微软雅黑" w:cs="Times New Roman"/>
          <w:szCs w:val="21"/>
          <w:highlight w:val="none"/>
        </w:rPr>
        <w:t>服务采购项目</w:t>
      </w:r>
    </w:p>
    <w:p>
      <w:pPr>
        <w:numPr>
          <w:ilvl w:val="0"/>
          <w:numId w:val="4"/>
        </w:numPr>
        <w:snapToGrid w:val="0"/>
        <w:spacing w:line="360" w:lineRule="auto"/>
        <w:rPr>
          <w:rFonts w:hint="eastAsia" w:ascii="微软雅黑" w:hAnsi="微软雅黑" w:eastAsia="微软雅黑" w:cs="Times New Roman"/>
          <w:szCs w:val="21"/>
          <w:highlight w:val="none"/>
        </w:rPr>
      </w:pPr>
      <w:r>
        <w:rPr>
          <w:rFonts w:hint="eastAsia" w:ascii="微软雅黑" w:hAnsi="微软雅黑" w:eastAsia="微软雅黑" w:cs="Times New Roman"/>
          <w:szCs w:val="21"/>
          <w:highlight w:val="none"/>
        </w:rPr>
        <w:t>项目地址：</w:t>
      </w:r>
      <w:r>
        <w:rPr>
          <w:rFonts w:hint="eastAsia" w:ascii="微软雅黑" w:hAnsi="微软雅黑" w:eastAsia="微软雅黑" w:cs="Times New Roman"/>
          <w:sz w:val="21"/>
          <w:szCs w:val="21"/>
          <w:highlight w:val="none"/>
          <w:lang w:val="en-US" w:eastAsia="zh-CN"/>
        </w:rPr>
        <w:t>花果山超高清视频产业特色小镇</w:t>
      </w:r>
    </w:p>
    <w:p>
      <w:pPr>
        <w:snapToGrid w:val="0"/>
        <w:spacing w:line="360" w:lineRule="auto"/>
        <w:jc w:val="left"/>
        <w:rPr>
          <w:rFonts w:ascii="微软雅黑" w:hAnsi="微软雅黑" w:eastAsia="微软雅黑" w:cs="Times New Roman"/>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第二条、</w:t>
      </w:r>
      <w:r>
        <w:rPr>
          <w:rFonts w:hint="eastAsia" w:ascii="微软雅黑" w:hAnsi="微软雅黑" w:eastAsia="微软雅黑" w:cs="Times New Roman"/>
          <w:b/>
          <w:szCs w:val="21"/>
          <w:highlight w:val="none"/>
        </w:rPr>
        <w:t>工作内容</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bCs/>
          <w:szCs w:val="21"/>
          <w:highlight w:val="none"/>
        </w:rPr>
        <w:t xml:space="preserve">2.1  </w:t>
      </w:r>
      <w:r>
        <w:rPr>
          <w:rFonts w:hint="eastAsia" w:ascii="微软雅黑" w:hAnsi="微软雅黑" w:eastAsia="微软雅黑" w:cs="Times New Roman"/>
          <w:szCs w:val="21"/>
          <w:highlight w:val="none"/>
        </w:rPr>
        <w:t>针对</w:t>
      </w:r>
      <w:r>
        <w:rPr>
          <w:rFonts w:hint="eastAsia" w:ascii="微软雅黑" w:hAnsi="微软雅黑" w:eastAsia="微软雅黑" w:cs="Times New Roman"/>
          <w:sz w:val="21"/>
          <w:szCs w:val="21"/>
          <w:highlight w:val="none"/>
          <w:lang w:val="en-US" w:eastAsia="zh-CN"/>
        </w:rPr>
        <w:t>花果山特色小镇有意思实验室活动</w:t>
      </w:r>
      <w:r>
        <w:rPr>
          <w:rFonts w:hint="eastAsia" w:ascii="微软雅黑" w:hAnsi="微软雅黑" w:eastAsia="微软雅黑" w:cs="Times New Roman"/>
          <w:szCs w:val="21"/>
          <w:highlight w:val="none"/>
          <w:lang w:val="en-US" w:eastAsia="zh-CN"/>
        </w:rPr>
        <w:t>项目</w:t>
      </w:r>
      <w:r>
        <w:rPr>
          <w:rFonts w:hint="eastAsia" w:ascii="微软雅黑" w:hAnsi="微软雅黑" w:eastAsia="微软雅黑" w:cs="Times New Roman"/>
          <w:szCs w:val="21"/>
          <w:highlight w:val="none"/>
        </w:rPr>
        <w:t>，提供</w:t>
      </w:r>
      <w:r>
        <w:rPr>
          <w:rFonts w:hint="eastAsia" w:ascii="微软雅黑" w:hAnsi="微软雅黑" w:eastAsia="微软雅黑" w:cs="Times New Roman"/>
          <w:szCs w:val="21"/>
          <w:highlight w:val="none"/>
          <w:lang w:val="en-US" w:eastAsia="zh-CN"/>
        </w:rPr>
        <w:t>物料</w:t>
      </w:r>
      <w:r>
        <w:rPr>
          <w:rFonts w:hint="eastAsia" w:ascii="微软雅黑" w:hAnsi="微软雅黑" w:eastAsia="微软雅黑" w:cs="Times New Roman"/>
          <w:sz w:val="21"/>
          <w:szCs w:val="21"/>
          <w:highlight w:val="none"/>
          <w:lang w:eastAsia="zh-CN"/>
        </w:rPr>
        <w:t>设计、制作及执行</w:t>
      </w:r>
      <w:r>
        <w:rPr>
          <w:rFonts w:hint="eastAsia" w:ascii="微软雅黑" w:hAnsi="微软雅黑" w:eastAsia="微软雅黑" w:cs="Times New Roman"/>
          <w:sz w:val="21"/>
          <w:szCs w:val="21"/>
          <w:highlight w:val="none"/>
          <w:lang w:val="en-US" w:eastAsia="zh-CN"/>
        </w:rPr>
        <w:t>落地</w:t>
      </w:r>
      <w:r>
        <w:rPr>
          <w:rFonts w:hint="eastAsia" w:ascii="微软雅黑" w:hAnsi="微软雅黑" w:eastAsia="微软雅黑" w:cs="Times New Roman"/>
          <w:szCs w:val="21"/>
          <w:highlight w:val="none"/>
        </w:rPr>
        <w:t>等一系列项目服务</w:t>
      </w:r>
      <w:r>
        <w:rPr>
          <w:rFonts w:hint="eastAsia" w:ascii="微软雅黑" w:hAnsi="微软雅黑" w:eastAsia="微软雅黑" w:cs="Times New Roman"/>
          <w:szCs w:val="21"/>
          <w:highlight w:val="none"/>
          <w:lang w:eastAsia="zh-CN"/>
        </w:rPr>
        <w:t>，</w:t>
      </w:r>
      <w:r>
        <w:rPr>
          <w:rFonts w:hint="eastAsia" w:ascii="微软雅黑" w:hAnsi="微软雅黑" w:eastAsia="微软雅黑" w:cs="Times New Roman"/>
          <w:szCs w:val="21"/>
          <w:highlight w:val="none"/>
          <w:lang w:val="en-US" w:eastAsia="zh-CN"/>
        </w:rPr>
        <w:t>详见合同附件</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2.2  负责该项目</w:t>
      </w:r>
      <w:r>
        <w:rPr>
          <w:rFonts w:hint="eastAsia" w:ascii="微软雅黑" w:hAnsi="微软雅黑" w:eastAsia="微软雅黑" w:cs="Times New Roman"/>
          <w:szCs w:val="21"/>
          <w:highlight w:val="none"/>
          <w:lang w:val="en-US" w:eastAsia="zh-CN"/>
        </w:rPr>
        <w:t>执行落地</w:t>
      </w:r>
      <w:r>
        <w:rPr>
          <w:rFonts w:hint="eastAsia" w:ascii="微软雅黑" w:hAnsi="微软雅黑" w:eastAsia="微软雅黑" w:cs="Times New Roman"/>
          <w:szCs w:val="21"/>
          <w:highlight w:val="none"/>
        </w:rPr>
        <w:t>工作；</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 xml:space="preserve">2.3  </w:t>
      </w:r>
      <w:r>
        <w:rPr>
          <w:rFonts w:hint="eastAsia" w:ascii="微软雅黑" w:hAnsi="微软雅黑" w:eastAsia="微软雅黑" w:cs="Times New Roman"/>
          <w:szCs w:val="21"/>
          <w:highlight w:val="none"/>
          <w:lang w:val="en-US" w:eastAsia="zh-CN"/>
        </w:rPr>
        <w:t>按照甲、乙双方共同确定的设计方案，以竞投报价执行清单（附件5）内容，参考项目服务建议书（附件8）拟定项目方案，完成本项目工作</w:t>
      </w:r>
      <w:r>
        <w:rPr>
          <w:rFonts w:hint="eastAsia" w:ascii="微软雅黑" w:hAnsi="微软雅黑" w:eastAsia="微软雅黑" w:cs="Times New Roman"/>
          <w:szCs w:val="21"/>
          <w:highlight w:val="none"/>
        </w:rPr>
        <w:t>。</w:t>
      </w:r>
    </w:p>
    <w:p>
      <w:pPr>
        <w:snapToGrid w:val="0"/>
        <w:spacing w:line="360" w:lineRule="auto"/>
        <w:ind w:left="1890" w:hanging="1890" w:hangingChars="900"/>
        <w:rPr>
          <w:rFonts w:ascii="微软雅黑" w:hAnsi="微软雅黑" w:eastAsia="微软雅黑" w:cs="Times New Roman"/>
          <w:szCs w:val="21"/>
          <w:highlight w:val="none"/>
        </w:rPr>
      </w:pP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第三条、双方的权利和义务</w:t>
      </w: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甲方权利义务</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.1  </w:t>
      </w:r>
      <w:r>
        <w:rPr>
          <w:rFonts w:hint="eastAsia" w:ascii="微软雅黑" w:hAnsi="微软雅黑" w:eastAsia="微软雅黑" w:cs="Times New Roman"/>
          <w:szCs w:val="21"/>
          <w:highlight w:val="none"/>
        </w:rPr>
        <w:t>甲方委托乙方按照本合同约定的内容进行服务；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甲方应如实和及时向乙方提供项目相关信息，以便乙方开展工作。如果因甲方不能及时提供项目相关信息而影响进度，乙方有权将项目总期限按拖延的时间顺延，且不承担延期责任；</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甲方应保证其所提供的项目相关信息准确、有效；</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甲方有权向乙方了解本合同项目的工作进展情况和相关内容或提出相关建议；</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甲方有义务协助并积极配合乙方进行相关工作，在收到乙方提出的意见时，在规定时间内提出反馈及要求；</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6</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甲方应按合同约定时间和款项支付相关费用；</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7</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本合同约定的其他权利和义务。</w:t>
      </w:r>
    </w:p>
    <w:p>
      <w:pPr>
        <w:snapToGrid w:val="0"/>
        <w:spacing w:line="360" w:lineRule="auto"/>
        <w:ind w:left="1890" w:hanging="1891" w:hangingChars="900"/>
        <w:rPr>
          <w:rFonts w:ascii="微软雅黑" w:hAnsi="微软雅黑" w:eastAsia="微软雅黑" w:cs="Times New Roman"/>
          <w:b/>
          <w:szCs w:val="21"/>
          <w:highlight w:val="none"/>
        </w:rPr>
      </w:pPr>
      <w:r>
        <w:rPr>
          <w:rFonts w:hint="eastAsia" w:ascii="微软雅黑" w:hAnsi="微软雅黑" w:eastAsia="微软雅黑" w:cs="Times New Roman"/>
          <w:b/>
          <w:szCs w:val="21"/>
          <w:highlight w:val="none"/>
        </w:rPr>
        <w:t>乙方权利义务: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8</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按本合同规定期限和内容完成项目</w:t>
      </w:r>
      <w:r>
        <w:rPr>
          <w:rFonts w:hint="eastAsia" w:ascii="微软雅黑" w:hAnsi="微软雅黑" w:eastAsia="微软雅黑" w:cs="Times New Roman"/>
          <w:szCs w:val="21"/>
          <w:highlight w:val="none"/>
          <w:lang w:val="en-US" w:eastAsia="zh-CN"/>
        </w:rPr>
        <w:t>执行落地</w:t>
      </w:r>
      <w:r>
        <w:rPr>
          <w:rFonts w:hint="eastAsia" w:ascii="微软雅黑" w:hAnsi="微软雅黑" w:eastAsia="微软雅黑" w:cs="Times New Roman"/>
          <w:szCs w:val="21"/>
          <w:highlight w:val="none"/>
          <w:lang w:eastAsia="zh-CN"/>
        </w:rPr>
        <w:t>工作</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9</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按本合同约定取得报酬；</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0乙方应严格按本合同约定执行具体工作，不同阶段的具体工作将根据具体情况就项目工作成果内容及进度与甲方商讨交流；</w:t>
      </w:r>
      <w:r>
        <w:rPr>
          <w:rFonts w:hint="eastAsia" w:ascii="微软雅黑" w:hAnsi="微软雅黑" w:eastAsia="微软雅黑" w:cs="Times New Roman"/>
          <w:szCs w:val="21"/>
          <w:highlight w:val="none"/>
        </w:rPr>
        <w:tab/>
      </w:r>
    </w:p>
    <w:p>
      <w:pPr>
        <w:snapToGrid w:val="0"/>
        <w:spacing w:line="360" w:lineRule="auto"/>
        <w:ind w:left="567" w:leftChars="0"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乙方应遵守本合同的规定开展工作，乙方所受委托的权利仅限于完成</w:t>
      </w:r>
      <w:r>
        <w:rPr>
          <w:rFonts w:hint="eastAsia" w:ascii="微软雅黑" w:hAnsi="微软雅黑" w:eastAsia="微软雅黑" w:cs="Times New Roman"/>
          <w:szCs w:val="21"/>
          <w:highlight w:val="none"/>
          <w:lang w:val="en-US" w:eastAsia="zh-CN"/>
        </w:rPr>
        <w:t>项目</w:t>
      </w:r>
      <w:r>
        <w:rPr>
          <w:rFonts w:hint="eastAsia" w:ascii="微软雅黑" w:hAnsi="微软雅黑" w:eastAsia="微软雅黑" w:cs="Times New Roman"/>
          <w:szCs w:val="21"/>
          <w:highlight w:val="none"/>
        </w:rPr>
        <w:t>所必须的相关活动，不得以甲方名义从事其它任何民事经济行为；</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乙方在履行本合同的过程中，必须保守所接触或了解到的甲方的商业秘密，不得未经甲方书面同意向第三方披露；</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乙方组建专业团队，提供本合同下的各阶段服务；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未经甲方书面同意，乙方不得把本合同项下的权利义务转让给任何第三方；</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本合同约定的其它权利和义务。</w:t>
      </w:r>
    </w:p>
    <w:p>
      <w:pPr>
        <w:snapToGrid w:val="0"/>
        <w:spacing w:line="360" w:lineRule="auto"/>
        <w:rPr>
          <w:rFonts w:hint="eastAsia" w:ascii="微软雅黑" w:hAnsi="微软雅黑" w:eastAsia="微软雅黑" w:cs="Times New Roman"/>
          <w:b/>
          <w:bCs/>
          <w:szCs w:val="21"/>
          <w:highlight w:val="none"/>
        </w:rPr>
      </w:pPr>
    </w:p>
    <w:p>
      <w:pPr>
        <w:snapToGrid w:val="0"/>
        <w:spacing w:line="360" w:lineRule="auto"/>
        <w:ind w:left="0" w:firstLine="0" w:firstLineChars="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第四条、服务期限</w:t>
      </w:r>
    </w:p>
    <w:p>
      <w:pPr>
        <w:spacing w:line="360" w:lineRule="auto"/>
        <w:ind w:left="567" w:hanging="567" w:hangingChars="270"/>
        <w:rPr>
          <w:rFonts w:hint="eastAsia" w:ascii="微软雅黑" w:hAnsi="微软雅黑" w:eastAsia="微软雅黑" w:cs="Times New Roman"/>
          <w:szCs w:val="21"/>
          <w:highlight w:val="none"/>
        </w:rPr>
      </w:pPr>
      <w:r>
        <w:rPr>
          <w:rFonts w:hint="eastAsia" w:ascii="微软雅黑" w:hAnsi="微软雅黑" w:eastAsia="微软雅黑" w:cs="Times New Roman"/>
          <w:color w:val="auto"/>
          <w:szCs w:val="21"/>
          <w:highlight w:val="none"/>
        </w:rPr>
        <w:t>4.</w:t>
      </w:r>
      <w:r>
        <w:rPr>
          <w:rFonts w:hint="eastAsia" w:ascii="微软雅黑" w:hAnsi="微软雅黑" w:eastAsia="微软雅黑" w:cs="Times New Roman"/>
          <w:color w:val="auto"/>
          <w:szCs w:val="21"/>
          <w:highlight w:val="none"/>
          <w:lang w:val="en-US" w:eastAsia="zh-CN"/>
        </w:rPr>
        <w:t>1</w:t>
      </w:r>
      <w:r>
        <w:rPr>
          <w:rFonts w:ascii="微软雅黑" w:hAnsi="微软雅黑" w:eastAsia="微软雅黑" w:cs="Times New Roman"/>
          <w:color w:val="auto"/>
          <w:szCs w:val="21"/>
          <w:highlight w:val="none"/>
        </w:rPr>
        <w:t xml:space="preserve">  </w:t>
      </w:r>
      <w:r>
        <w:rPr>
          <w:rFonts w:hint="eastAsia" w:ascii="微软雅黑" w:hAnsi="微软雅黑" w:eastAsia="微软雅黑" w:cs="Times New Roman"/>
          <w:szCs w:val="21"/>
          <w:highlight w:val="none"/>
        </w:rPr>
        <w:t>若因市场或甲方原因导致本项目计划延误或服务内容发生变化的，经双方协商同意后终止本合同或双方另行以补充协议的形式就时间节点、服务期限和服务内容重新进行确认，作为本合同之不可分割部分。</w:t>
      </w:r>
    </w:p>
    <w:p>
      <w:pPr>
        <w:spacing w:line="360" w:lineRule="auto"/>
        <w:ind w:left="567" w:hanging="567" w:hangingChars="270"/>
        <w:rPr>
          <w:rFonts w:hint="eastAsia" w:ascii="微软雅黑" w:hAnsi="微软雅黑" w:eastAsia="微软雅黑" w:cs="Times New Roman"/>
          <w:color w:val="auto"/>
          <w:szCs w:val="21"/>
          <w:highlight w:val="none"/>
        </w:rPr>
      </w:pPr>
    </w:p>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第五条、费用及支付方式：</w:t>
      </w:r>
    </w:p>
    <w:p>
      <w:pPr>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费用金额</w:t>
      </w:r>
    </w:p>
    <w:p>
      <w:pPr>
        <w:snapToGrid w:val="0"/>
        <w:spacing w:line="360" w:lineRule="auto"/>
        <w:ind w:left="556" w:leftChars="195" w:hanging="147" w:hangingChars="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甲乙双方同意，本合同服务费用为：</w:t>
      </w:r>
    </w:p>
    <w:p>
      <w:pPr>
        <w:snapToGrid w:val="0"/>
        <w:spacing w:line="360" w:lineRule="auto"/>
        <w:ind w:left="36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本项目采用合价包干的形式，服务费含税后金额为人民币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），其中不含税金额为人民币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），增值税为人民币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w:t>
      </w:r>
    </w:p>
    <w:p>
      <w:pPr>
        <w:snapToGrid w:val="0"/>
        <w:spacing w:line="360" w:lineRule="auto"/>
        <w:ind w:left="360"/>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支付方式</w:t>
      </w:r>
      <w:r>
        <w:rPr>
          <w:rFonts w:hint="eastAsia" w:ascii="微软雅黑" w:hAnsi="微软雅黑" w:eastAsia="微软雅黑" w:cs="Times New Roman"/>
          <w:b/>
          <w:color w:val="auto"/>
          <w:szCs w:val="21"/>
          <w:highlight w:val="none"/>
        </w:rPr>
        <w:t>：</w:t>
      </w:r>
      <w:r>
        <w:rPr>
          <w:rStyle w:val="7"/>
          <w:rFonts w:hint="eastAsia" w:ascii="微软雅黑" w:hAnsi="微软雅黑" w:eastAsia="微软雅黑" w:cs="Times New Roman"/>
          <w:b w:val="0"/>
          <w:color w:val="auto"/>
          <w:sz w:val="21"/>
          <w:szCs w:val="21"/>
          <w:highlight w:val="none"/>
          <w:lang w:val="en-US" w:eastAsia="zh-CN"/>
        </w:rPr>
        <w:t>活动结束之后，双方完成验收工作</w:t>
      </w:r>
      <w:r>
        <w:rPr>
          <w:rFonts w:hint="eastAsia" w:ascii="微软雅黑" w:hAnsi="微软雅黑" w:eastAsia="微软雅黑" w:cs="Times New Roman"/>
          <w:b w:val="0"/>
          <w:color w:val="auto"/>
          <w:sz w:val="21"/>
          <w:szCs w:val="21"/>
          <w:highlight w:val="none"/>
          <w:lang w:eastAsia="zh-CN"/>
        </w:rPr>
        <w:t>之日起</w:t>
      </w:r>
      <w:r>
        <w:rPr>
          <w:rStyle w:val="7"/>
          <w:rFonts w:hint="eastAsia" w:ascii="微软雅黑" w:hAnsi="微软雅黑" w:eastAsia="微软雅黑" w:cs="Times New Roman"/>
          <w:b w:val="0"/>
          <w:color w:val="auto"/>
          <w:sz w:val="21"/>
          <w:szCs w:val="21"/>
          <w:highlight w:val="none"/>
          <w:lang w:eastAsia="zh-CN"/>
        </w:rPr>
        <w:t>3</w:t>
      </w:r>
      <w:r>
        <w:rPr>
          <w:rStyle w:val="7"/>
          <w:rFonts w:hint="eastAsia" w:ascii="微软雅黑" w:hAnsi="微软雅黑" w:eastAsia="微软雅黑" w:cs="Times New Roman"/>
          <w:b w:val="0"/>
          <w:color w:val="auto"/>
          <w:sz w:val="21"/>
          <w:szCs w:val="21"/>
          <w:highlight w:val="none"/>
          <w:lang w:val="en-US" w:eastAsia="zh-CN"/>
        </w:rPr>
        <w:t>0天内，</w:t>
      </w:r>
      <w:r>
        <w:rPr>
          <w:rStyle w:val="7"/>
          <w:rFonts w:hint="eastAsia" w:ascii="微软雅黑" w:hAnsi="微软雅黑" w:eastAsia="微软雅黑" w:cs="Times New Roman"/>
          <w:b w:val="0"/>
          <w:color w:val="auto"/>
          <w:sz w:val="21"/>
          <w:szCs w:val="21"/>
          <w:highlight w:val="none"/>
        </w:rPr>
        <w:t>结清所有款</w:t>
      </w:r>
      <w:r>
        <w:rPr>
          <w:rStyle w:val="7"/>
          <w:rFonts w:hint="eastAsia" w:ascii="微软雅黑" w:hAnsi="微软雅黑" w:eastAsia="微软雅黑" w:cs="Times New Roman"/>
          <w:b w:val="0"/>
          <w:color w:val="auto"/>
          <w:sz w:val="21"/>
          <w:szCs w:val="21"/>
          <w:highlight w:val="none"/>
          <w:lang w:val="en-US" w:eastAsia="zh-CN"/>
        </w:rPr>
        <w:t>项</w:t>
      </w:r>
      <w:r>
        <w:rPr>
          <w:rFonts w:hint="eastAsia" w:ascii="微软雅黑" w:hAnsi="微软雅黑" w:eastAsia="微软雅黑" w:cs="Times New Roman"/>
          <w:b w:val="0"/>
          <w:color w:val="auto"/>
          <w:sz w:val="21"/>
          <w:szCs w:val="21"/>
          <w:highlight w:val="none"/>
          <w:lang w:eastAsia="zh-CN"/>
        </w:rPr>
        <w:t>，</w:t>
      </w:r>
      <w:r>
        <w:rPr>
          <w:rFonts w:hint="eastAsia" w:ascii="微软雅黑" w:hAnsi="微软雅黑" w:eastAsia="微软雅黑" w:cs="Times New Roman"/>
          <w:color w:val="auto"/>
          <w:szCs w:val="21"/>
          <w:highlight w:val="none"/>
        </w:rPr>
        <w:t xml:space="preserve">即人民币 </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（大写：</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w:t>
      </w:r>
    </w:p>
    <w:p>
      <w:pPr>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lang w:val="en-US" w:eastAsia="zh-CN"/>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甲方应当将以上费用存入乙方指定账户，乙方因履行本合同所收取的服务费用而产生的税费由乙方自行支付。</w:t>
      </w:r>
    </w:p>
    <w:tbl>
      <w:tblPr>
        <w:tblStyle w:val="6"/>
        <w:tblW w:w="1842" w:type="dxa"/>
        <w:tblInd w:w="534" w:type="dxa"/>
        <w:tblLayout w:type="fixed"/>
        <w:tblCellMar>
          <w:top w:w="0" w:type="dxa"/>
          <w:left w:w="108" w:type="dxa"/>
          <w:bottom w:w="0" w:type="dxa"/>
          <w:right w:w="108" w:type="dxa"/>
        </w:tblCellMar>
      </w:tblPr>
      <w:tblGrid>
        <w:gridCol w:w="1842"/>
      </w:tblGrid>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银行名称：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开户名称：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帐  号：</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hint="eastAsia" w:ascii="微软雅黑" w:hAnsi="微软雅黑" w:eastAsia="微软雅黑" w:cs="Times New Roman"/>
                <w:szCs w:val="21"/>
                <w:highlight w:val="none"/>
              </w:rPr>
            </w:pPr>
          </w:p>
        </w:tc>
      </w:tr>
    </w:tbl>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第六条、工作成果</w:t>
      </w:r>
      <w:r>
        <w:rPr>
          <w:rFonts w:hint="eastAsia" w:ascii="微软雅黑" w:hAnsi="微软雅黑" w:eastAsia="微软雅黑" w:cs="Times New Roman"/>
          <w:b/>
          <w:bCs/>
          <w:szCs w:val="21"/>
          <w:highlight w:val="none"/>
          <w:lang w:eastAsia="zh-CN"/>
        </w:rPr>
        <w:t>验收</w:t>
      </w:r>
    </w:p>
    <w:p>
      <w:pPr>
        <w:snapToGrid w:val="0"/>
        <w:spacing w:line="360" w:lineRule="auto"/>
        <w:ind w:firstLine="0" w:firstLineChars="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val="en-US" w:eastAsia="zh-CN"/>
        </w:rPr>
        <w:t>6.1  活动</w:t>
      </w:r>
      <w:r>
        <w:rPr>
          <w:rFonts w:hint="eastAsia" w:ascii="微软雅黑" w:hAnsi="微软雅黑" w:eastAsia="微软雅黑" w:cs="Times New Roman"/>
          <w:szCs w:val="21"/>
          <w:highlight w:val="none"/>
          <w:lang w:eastAsia="zh-CN"/>
        </w:rPr>
        <w:t>完成情况应按照合同要求制定项目验收表，经甲方审核验收，主要从</w:t>
      </w:r>
      <w:r>
        <w:rPr>
          <w:rFonts w:hint="eastAsia" w:ascii="微软雅黑" w:hAnsi="微软雅黑" w:eastAsia="微软雅黑" w:cs="Times New Roman"/>
          <w:szCs w:val="21"/>
          <w:highlight w:val="none"/>
          <w:lang w:val="en-US" w:eastAsia="zh-CN"/>
        </w:rPr>
        <w:t>物料布置</w:t>
      </w:r>
      <w:r>
        <w:rPr>
          <w:rFonts w:hint="eastAsia" w:ascii="微软雅黑" w:hAnsi="微软雅黑" w:eastAsia="微软雅黑" w:cs="Times New Roman"/>
          <w:szCs w:val="21"/>
          <w:highlight w:val="none"/>
          <w:lang w:eastAsia="zh-CN"/>
        </w:rPr>
        <w:t>效</w:t>
      </w:r>
    </w:p>
    <w:p>
      <w:pPr>
        <w:snapToGrid w:val="0"/>
        <w:spacing w:line="360" w:lineRule="auto"/>
        <w:ind w:firstLine="420" w:firstLineChars="20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eastAsia="zh-CN"/>
        </w:rPr>
        <w:t>果、施工质量</w:t>
      </w:r>
      <w:r>
        <w:rPr>
          <w:rFonts w:hint="eastAsia" w:ascii="微软雅黑" w:hAnsi="微软雅黑" w:eastAsia="微软雅黑" w:cs="Times New Roman"/>
          <w:szCs w:val="21"/>
          <w:highlight w:val="none"/>
          <w:lang w:val="en-US" w:eastAsia="zh-CN"/>
        </w:rPr>
        <w:t>和整体呈现</w:t>
      </w:r>
      <w:r>
        <w:rPr>
          <w:rFonts w:hint="eastAsia" w:ascii="微软雅黑" w:hAnsi="微软雅黑" w:eastAsia="微软雅黑" w:cs="Times New Roman"/>
          <w:szCs w:val="21"/>
          <w:highlight w:val="none"/>
          <w:lang w:eastAsia="zh-CN"/>
        </w:rPr>
        <w:t>等方面进行审核，最终审核结果以甲、乙双方在验收表签章落</w:t>
      </w:r>
    </w:p>
    <w:p>
      <w:pPr>
        <w:snapToGrid w:val="0"/>
        <w:spacing w:line="360" w:lineRule="auto"/>
        <w:ind w:firstLine="420" w:firstLineChars="20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eastAsia="zh-CN"/>
        </w:rPr>
        <w:t>款为准。</w:t>
      </w: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七</w:t>
      </w:r>
      <w:r>
        <w:rPr>
          <w:rFonts w:hint="eastAsia" w:ascii="微软雅黑" w:hAnsi="微软雅黑" w:eastAsia="微软雅黑" w:cs="Arial"/>
          <w:b/>
          <w:bCs/>
          <w:szCs w:val="21"/>
          <w:highlight w:val="none"/>
        </w:rPr>
        <w:t>条、保密条款</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 xml:space="preserve">.1  </w:t>
      </w:r>
      <w:r>
        <w:rPr>
          <w:rFonts w:hint="eastAsia" w:ascii="微软雅黑" w:hAnsi="微软雅黑" w:eastAsia="微软雅黑" w:cs="Arial"/>
          <w:szCs w:val="21"/>
          <w:highlight w:val="none"/>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本条在本合同终止或解除后仍继续有效。</w:t>
      </w:r>
    </w:p>
    <w:p>
      <w:pPr>
        <w:snapToGrid w:val="0"/>
        <w:spacing w:line="276" w:lineRule="auto"/>
        <w:rPr>
          <w:rFonts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八</w:t>
      </w:r>
      <w:r>
        <w:rPr>
          <w:rFonts w:hint="eastAsia" w:ascii="微软雅黑" w:hAnsi="微软雅黑" w:eastAsia="微软雅黑" w:cs="Arial"/>
          <w:b/>
          <w:bCs/>
          <w:szCs w:val="21"/>
          <w:highlight w:val="none"/>
        </w:rPr>
        <w:t>条 适用法律和争议解决</w:t>
      </w: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本合同适用中华人民共和国法律。</w:t>
      </w:r>
    </w:p>
    <w:p>
      <w:pPr>
        <w:snapToGrid w:val="0"/>
        <w:spacing w:line="360" w:lineRule="auto"/>
        <w:ind w:left="567" w:hanging="567" w:hangingChars="270"/>
        <w:rPr>
          <w:rFonts w:ascii="微软雅黑" w:hAnsi="微软雅黑" w:eastAsia="微软雅黑" w:cs="Arial"/>
          <w:bCs/>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双方如对本合同内容和其履行有任何争议，则任何一方均有权向甲方所在地的人民法院提起诉讼。</w:t>
      </w: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eastAsia="zh-CN"/>
        </w:rPr>
        <w:t>九</w:t>
      </w:r>
      <w:r>
        <w:rPr>
          <w:rFonts w:hint="eastAsia" w:ascii="微软雅黑" w:hAnsi="微软雅黑" w:eastAsia="微软雅黑" w:cs="Arial"/>
          <w:b/>
          <w:bCs/>
          <w:szCs w:val="21"/>
          <w:highlight w:val="none"/>
        </w:rPr>
        <w:t>条、违约责任：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1</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乙方必须按双方约定的时间、内容完成合同规定的工作。任何一方如需变更服务内容，必须经过对方的书面同意。但经过甲方认可或推定认可的</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内容，甲方不应再以</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内容不符合合同约定为由抗辩。</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Times New Roman"/>
          <w:szCs w:val="21"/>
          <w:highlight w:val="none"/>
          <w:lang w:val="en-US" w:eastAsia="zh-CN"/>
        </w:rPr>
        <w:t>9</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lang w:val="en-US" w:eastAsia="zh-CN"/>
        </w:rPr>
        <w:t xml:space="preserve"> </w:t>
      </w:r>
      <w:r>
        <w:rPr>
          <w:rFonts w:hint="eastAsia" w:ascii="微软雅黑" w:hAnsi="微软雅黑" w:eastAsia="微软雅黑" w:cs="Times New Roman"/>
          <w:szCs w:val="21"/>
          <w:highlight w:val="none"/>
        </w:rPr>
        <w:t>甲方必须按照合同约定的时限向乙方付款，否则</w:t>
      </w:r>
      <w:r>
        <w:rPr>
          <w:rFonts w:hint="eastAsia" w:ascii="微软雅黑" w:hAnsi="微软雅黑" w:eastAsia="微软雅黑" w:cs="Arial"/>
          <w:szCs w:val="21"/>
          <w:highlight w:val="none"/>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4</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除本协议另有约定外，本协议项下违约金一经支付，即构成对违约金收取一方的完整补偿，收取违约金的一方不得再向对方提出任何进一步金额的主张。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5</w:t>
      </w:r>
      <w:r>
        <w:rPr>
          <w:rFonts w:hint="eastAsia" w:ascii="微软雅黑" w:hAnsi="微软雅黑" w:eastAsia="微软雅黑" w:cs="Arial"/>
          <w:szCs w:val="21"/>
          <w:highlight w:val="none"/>
          <w:lang w:val="en-US" w:eastAsia="zh-CN"/>
        </w:rPr>
        <w:t xml:space="preserve"> </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乙方在本协议下承担的责任总和，不应超过乙方在本协议下收取的服务费。</w:t>
      </w: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第十条、如发生下列情况之一，本合同可以变更或终止：</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（一）双方协商一致，同意变更或终止合同；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（二）一方在约定期限内没有履行合同，在被允许延迟履行的合理期限内仍未履行合同，则另一方有权以书面通知的方式单方解除合同；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（三）一方违反合同的约定，在被书面通知更正其违约行为的期限内仍未更正，则另一方有权以书面通知的方式单方解除合同；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（四）如遇不可抗力事件，且不可抗力持续超过60日的，则任何一方可书面通知对方解除合同；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（五）一方遭遇破产、被兼并、被清算或其它资信严重受损的情形，则另一方有权提前7日书面通知解除本合同；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（六）法律规定的其它情形。</w:t>
      </w:r>
    </w:p>
    <w:p>
      <w:pPr>
        <w:rPr>
          <w:rFonts w:ascii="微软雅黑" w:hAnsi="微软雅黑" w:eastAsia="微软雅黑" w:cs="Times New Roman"/>
          <w:szCs w:val="20"/>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一</w:t>
      </w:r>
      <w:r>
        <w:rPr>
          <w:rFonts w:hint="eastAsia" w:ascii="微软雅黑" w:hAnsi="微软雅黑" w:eastAsia="微软雅黑" w:cs="Arial"/>
          <w:b/>
          <w:bCs/>
          <w:szCs w:val="21"/>
          <w:highlight w:val="none"/>
        </w:rPr>
        <w:t>条、不可抗力：</w:t>
      </w:r>
    </w:p>
    <w:p>
      <w:pPr>
        <w:snapToGrid w:val="0"/>
        <w:spacing w:line="360" w:lineRule="auto"/>
        <w:ind w:left="708" w:hanging="707" w:hangingChars="337"/>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1</w:t>
      </w:r>
      <w:r>
        <w:rPr>
          <w:rFonts w:hint="eastAsia" w:ascii="微软雅黑" w:hAnsi="微软雅黑" w:eastAsia="微软雅黑" w:cs="Arial"/>
          <w:szCs w:val="21"/>
          <w:highlight w:val="none"/>
        </w:rPr>
        <w:t>.1  本合同有效期内，因水灾、地震、海啸等自然灾害、火灾、战争、罢工或国家法律政策变更等人力不可抗拒的因素，造成本合同及其补充协议内容部分或全部不能履行，双方应协商延期履行或解除合同。</w:t>
      </w:r>
    </w:p>
    <w:p>
      <w:pPr>
        <w:widowControl/>
        <w:jc w:val="left"/>
        <w:rPr>
          <w:rFonts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二</w:t>
      </w:r>
      <w:r>
        <w:rPr>
          <w:rFonts w:hint="eastAsia" w:ascii="微软雅黑" w:hAnsi="微软雅黑" w:eastAsia="微软雅黑" w:cs="Arial"/>
          <w:b/>
          <w:bCs/>
          <w:szCs w:val="21"/>
          <w:highlight w:val="none"/>
        </w:rPr>
        <w:t>条、通知和联系人</w:t>
      </w:r>
    </w:p>
    <w:p>
      <w:pPr>
        <w:spacing w:line="360" w:lineRule="auto"/>
        <w:ind w:left="567" w:hanging="567" w:hangingChars="270"/>
        <w:rPr>
          <w:rFonts w:hint="default" w:ascii="微软雅黑" w:hAnsi="微软雅黑" w:eastAsia="微软雅黑" w:cs="Arial"/>
          <w:szCs w:val="21"/>
          <w:highlight w:val="none"/>
          <w:lang w:val="en-US" w:eastAsia="zh-CN"/>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.1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甲、乙方发送通知的方法，如用传真、电子邮件通知时，凡涉及双方权利、义务的，应随之以书面形式通知</w:t>
      </w:r>
      <w:r>
        <w:rPr>
          <w:rFonts w:hint="eastAsia" w:ascii="微软雅黑" w:hAnsi="微软雅黑" w:eastAsia="微软雅黑" w:cs="Times New Roman"/>
          <w:szCs w:val="21"/>
          <w:highlight w:val="none"/>
        </w:rPr>
        <w:t>，</w:t>
      </w:r>
      <w:r>
        <w:rPr>
          <w:rFonts w:hint="eastAsia" w:ascii="微软雅黑" w:hAnsi="微软雅黑" w:eastAsia="微软雅黑" w:cs="Arial"/>
          <w:szCs w:val="21"/>
          <w:highlight w:val="none"/>
        </w:rPr>
        <w:t>并以双方盖章或指定的授权委托人签字确认为准。合同中所列的联系方式即为双方有效的联系方式，如若更改，须及时用书面通知对方。凡按各方最后地址等联系方式送达的通知或其他有关文件均视为有效送达。</w:t>
      </w:r>
      <w:r>
        <w:rPr>
          <w:rFonts w:hint="eastAsia" w:ascii="微软雅黑" w:hAnsi="微软雅黑" w:eastAsia="微软雅黑" w:cs="Arial"/>
          <w:szCs w:val="21"/>
          <w:highlight w:val="none"/>
          <w:lang w:val="en-US" w:eastAsia="zh-CN"/>
        </w:rPr>
        <w:t xml:space="preserve"> </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.2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以专人递送时，签收日即为有效送达日，以邮寄方式递送时，以投递之日起第三日视为已送达。</w:t>
      </w:r>
    </w:p>
    <w:p>
      <w:pPr>
        <w:snapToGrid w:val="0"/>
        <w:spacing w:line="360" w:lineRule="auto"/>
        <w:rPr>
          <w:rFonts w:ascii="微软雅黑" w:hAnsi="微软雅黑" w:eastAsia="微软雅黑" w:cs="Arial"/>
          <w:szCs w:val="21"/>
          <w:highlight w:val="none"/>
        </w:rPr>
      </w:pPr>
    </w:p>
    <w:p>
      <w:pPr>
        <w:snapToGrid w:val="0"/>
        <w:spacing w:line="360" w:lineRule="auto"/>
        <w:rPr>
          <w:rFonts w:ascii="微软雅黑" w:hAnsi="微软雅黑" w:eastAsia="微软雅黑" w:cs="Arial"/>
          <w:bCs/>
          <w:szCs w:val="21"/>
          <w:highlight w:val="none"/>
        </w:rPr>
      </w:pPr>
      <w:r>
        <w:rPr>
          <w:rFonts w:hint="eastAsia" w:ascii="微软雅黑" w:hAnsi="微软雅黑" w:eastAsia="微软雅黑" w:cs="Arial"/>
          <w:b/>
          <w:bCs/>
          <w:szCs w:val="21"/>
          <w:highlight w:val="none"/>
        </w:rPr>
        <w:t>第十四条、</w:t>
      </w:r>
      <w:r>
        <w:rPr>
          <w:rFonts w:hint="eastAsia" w:ascii="微软雅黑" w:hAnsi="微软雅黑" w:eastAsia="微软雅黑" w:cs="Arial"/>
          <w:bCs/>
          <w:szCs w:val="21"/>
          <w:highlight w:val="none"/>
        </w:rPr>
        <w:t>本合同自甲乙双方盖章后生效。本合同一式</w:t>
      </w:r>
      <w:r>
        <w:rPr>
          <w:rFonts w:hint="eastAsia" w:ascii="微软雅黑" w:hAnsi="微软雅黑" w:eastAsia="微软雅黑" w:cs="Arial"/>
          <w:bCs/>
          <w:szCs w:val="21"/>
          <w:highlight w:val="none"/>
          <w:lang w:val="en-US" w:eastAsia="zh-CN"/>
        </w:rPr>
        <w:t>陆</w:t>
      </w:r>
      <w:r>
        <w:rPr>
          <w:rFonts w:hint="eastAsia" w:ascii="微软雅黑" w:hAnsi="微软雅黑" w:eastAsia="微软雅黑" w:cs="Arial"/>
          <w:bCs/>
          <w:szCs w:val="21"/>
          <w:highlight w:val="none"/>
        </w:rPr>
        <w:t>份，双方各执</w:t>
      </w:r>
      <w:r>
        <w:rPr>
          <w:rFonts w:hint="eastAsia" w:ascii="微软雅黑" w:hAnsi="微软雅黑" w:eastAsia="微软雅黑" w:cs="Arial"/>
          <w:bCs/>
          <w:szCs w:val="21"/>
          <w:highlight w:val="none"/>
          <w:lang w:val="en-US" w:eastAsia="zh-CN"/>
        </w:rPr>
        <w:t>叁</w:t>
      </w:r>
      <w:r>
        <w:rPr>
          <w:rFonts w:hint="eastAsia" w:ascii="微软雅黑" w:hAnsi="微软雅黑" w:eastAsia="微软雅黑" w:cs="Arial"/>
          <w:bCs/>
          <w:szCs w:val="21"/>
          <w:highlight w:val="none"/>
        </w:rPr>
        <w:t>份，具有同等法律效力。</w:t>
      </w: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（以下无正文）</w:t>
      </w:r>
    </w:p>
    <w:p>
      <w:pPr>
        <w:snapToGrid w:val="0"/>
        <w:spacing w:line="360" w:lineRule="auto"/>
        <w:rPr>
          <w:rFonts w:ascii="微软雅黑" w:hAnsi="微软雅黑" w:eastAsia="微软雅黑" w:cs="Arial"/>
          <w:bCs/>
          <w:szCs w:val="21"/>
          <w:highlight w:val="none"/>
        </w:rPr>
      </w:pPr>
    </w:p>
    <w:p>
      <w:pPr>
        <w:widowControl/>
        <w:jc w:val="left"/>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甲方（盖章）：广州市城壹房地产代理有限公司</w:t>
      </w: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签订日期：      年     月     日</w:t>
      </w: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乙方（盖章）：</w:t>
      </w:r>
      <w:r>
        <w:rPr>
          <w:rFonts w:ascii="微软雅黑" w:hAnsi="微软雅黑" w:eastAsia="微软雅黑" w:cs="Arial"/>
          <w:b/>
          <w:bCs/>
          <w:szCs w:val="21"/>
          <w:highlight w:val="none"/>
        </w:rPr>
        <w:t xml:space="preserve"> </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rPr>
          <w:rFonts w:ascii="Calibri" w:hAnsi="Calibri" w:eastAsia="宋体" w:cs="Times New Roman"/>
          <w:szCs w:val="24"/>
          <w:highlight w:val="none"/>
        </w:rPr>
      </w:pPr>
      <w:r>
        <w:rPr>
          <w:rFonts w:hint="eastAsia" w:ascii="微软雅黑" w:hAnsi="微软雅黑" w:eastAsia="微软雅黑" w:cs="Arial"/>
          <w:b/>
          <w:bCs/>
          <w:szCs w:val="21"/>
          <w:highlight w:val="none"/>
        </w:rPr>
        <w:t xml:space="preserve">签订日期：      年     月  </w:t>
      </w:r>
      <w:r>
        <w:rPr>
          <w:rFonts w:hint="eastAsia" w:ascii="微软雅黑" w:hAnsi="微软雅黑" w:eastAsia="微软雅黑" w:cs="Arial"/>
          <w:b/>
          <w:bCs/>
          <w:szCs w:val="21"/>
          <w:highlight w:val="none"/>
          <w:lang w:val="en-US" w:eastAsia="zh-CN"/>
        </w:rPr>
        <w:t xml:space="preserve">  </w:t>
      </w:r>
      <w:r>
        <w:rPr>
          <w:rFonts w:hint="eastAsia" w:ascii="微软雅黑" w:hAnsi="微软雅黑" w:eastAsia="微软雅黑" w:cs="Arial"/>
          <w:b/>
          <w:bCs/>
          <w:szCs w:val="21"/>
          <w:highlight w:val="none"/>
        </w:rPr>
        <w:t xml:space="preserve"> 日  </w:t>
      </w:r>
      <w:r>
        <w:rPr>
          <w:rFonts w:ascii="Calibri" w:hAnsi="Calibri" w:eastAsia="宋体" w:cs="Times New Roman"/>
          <w:szCs w:val="24"/>
          <w:highlight w:val="none"/>
        </w:rPr>
        <w:br w:type="page"/>
      </w:r>
    </w:p>
    <w:p>
      <w:pPr>
        <w:tabs>
          <w:tab w:val="left" w:pos="6564"/>
        </w:tabs>
        <w:spacing w:line="360" w:lineRule="auto"/>
        <w:jc w:val="center"/>
        <w:textAlignment w:val="top"/>
        <w:rPr>
          <w:rFonts w:ascii="Arial" w:hAnsi="Arial" w:eastAsia="黑体" w:cs="Times New Roman"/>
          <w:b/>
          <w:bCs/>
          <w:sz w:val="36"/>
          <w:szCs w:val="36"/>
          <w:highlight w:val="none"/>
        </w:rPr>
      </w:pPr>
      <w:r>
        <w:rPr>
          <w:rFonts w:hint="eastAsia" w:ascii="仿宋_GB2312" w:hAnsi="宋体" w:eastAsia="仿宋_GB2312" w:cs="宋体"/>
          <w:b/>
          <w:bCs/>
          <w:sz w:val="36"/>
          <w:szCs w:val="36"/>
          <w:highlight w:val="none"/>
        </w:rPr>
        <w:t>五、竞投文件格式</w:t>
      </w:r>
    </w:p>
    <w:p>
      <w:pPr>
        <w:keepNext/>
        <w:keepLines/>
        <w:spacing w:before="260" w:after="260" w:line="400" w:lineRule="exact"/>
        <w:outlineLvl w:val="1"/>
        <w:rPr>
          <w:rFonts w:ascii="仿宋_GB2312" w:hAnsi="Arial" w:eastAsia="仿宋_GB2312" w:cs="Times New Roman"/>
          <w:b/>
          <w:bCs/>
          <w:sz w:val="28"/>
          <w:szCs w:val="28"/>
          <w:highlight w:val="none"/>
        </w:rPr>
      </w:pPr>
      <w:r>
        <w:rPr>
          <w:rFonts w:hint="eastAsia" w:ascii="仿宋_GB2312" w:hAnsi="Arial" w:eastAsia="仿宋_GB2312" w:cs="Times New Roman"/>
          <w:bCs/>
          <w:sz w:val="24"/>
          <w:szCs w:val="24"/>
          <w:highlight w:val="none"/>
        </w:rPr>
        <w:t>附件1</w:t>
      </w:r>
      <w:r>
        <w:rPr>
          <w:rFonts w:hint="eastAsia" w:ascii="仿宋_GB2312" w:hAnsi="Arial" w:eastAsia="仿宋_GB2312" w:cs="Times New Roman"/>
          <w:bCs/>
          <w:sz w:val="24"/>
          <w:szCs w:val="24"/>
          <w:highlight w:val="none"/>
          <w:lang w:val="en-US" w:eastAsia="zh-CN"/>
        </w:rPr>
        <w:t xml:space="preserve">  </w:t>
      </w:r>
      <w:r>
        <w:rPr>
          <w:rFonts w:hint="eastAsia" w:ascii="仿宋_GB2312" w:hAnsi="Arial" w:eastAsia="仿宋_GB2312" w:cs="Times New Roman"/>
          <w:bCs/>
          <w:sz w:val="24"/>
          <w:szCs w:val="24"/>
          <w:highlight w:val="none"/>
        </w:rPr>
        <w:t xml:space="preserve">竞投文件封面  </w:t>
      </w:r>
      <w:r>
        <w:rPr>
          <w:rFonts w:hint="eastAsia" w:ascii="仿宋_GB2312" w:hAnsi="Arial" w:eastAsia="仿宋_GB2312" w:cs="Times New Roman"/>
          <w:b/>
          <w:bCs/>
          <w:sz w:val="28"/>
          <w:szCs w:val="28"/>
          <w:highlight w:val="none"/>
        </w:rPr>
        <w:t xml:space="preserve">              </w:t>
      </w:r>
    </w:p>
    <w:p>
      <w:pPr>
        <w:jc w:val="center"/>
        <w:rPr>
          <w:rFonts w:ascii="仿宋_GB2312" w:hAnsi="Calibri" w:eastAsia="仿宋_GB2312" w:cs="Times New Roman"/>
          <w:b/>
          <w:sz w:val="52"/>
          <w:szCs w:val="52"/>
          <w:highlight w:val="none"/>
          <w:u w:val="single"/>
        </w:rPr>
      </w:pPr>
      <w:r>
        <w:rPr>
          <w:rFonts w:hint="eastAsia" w:ascii="仿宋_GB2312" w:hAnsi="Calibri" w:eastAsia="仿宋_GB2312" w:cs="Times New Roman"/>
          <w:b/>
          <w:sz w:val="52"/>
          <w:szCs w:val="52"/>
          <w:highlight w:val="none"/>
          <w:u w:val="single"/>
          <w:lang w:val="en-US" w:eastAsia="zh-CN"/>
        </w:rPr>
        <w:t>花果山特色小镇有意思实验室活动服务采购项目</w:t>
      </w:r>
    </w:p>
    <w:p>
      <w:pPr>
        <w:jc w:val="center"/>
        <w:rPr>
          <w:rFonts w:ascii="仿宋_GB2312" w:hAnsi="Calibri" w:eastAsia="仿宋_GB2312" w:cs="Times New Roman"/>
          <w:b/>
          <w:sz w:val="52"/>
          <w:szCs w:val="52"/>
          <w:highlight w:val="none"/>
          <w:u w:val="single"/>
        </w:rPr>
      </w:pPr>
    </w:p>
    <w:p>
      <w:pPr>
        <w:jc w:val="center"/>
        <w:rPr>
          <w:rFonts w:ascii="仿宋_GB2312" w:hAnsi="Calibri" w:eastAsia="仿宋_GB2312" w:cs="Times New Roman"/>
          <w:b/>
          <w:sz w:val="52"/>
          <w:szCs w:val="52"/>
          <w:highlight w:val="none"/>
          <w:u w:val="single"/>
        </w:rPr>
      </w:pPr>
    </w:p>
    <w:p>
      <w:pPr>
        <w:rPr>
          <w:rFonts w:ascii="仿宋_GB2312" w:hAnsi="Calibri" w:eastAsia="仿宋_GB2312" w:cs="Times New Roman"/>
          <w:sz w:val="52"/>
          <w:szCs w:val="52"/>
          <w:highlight w:val="none"/>
          <w:u w:val="single"/>
        </w:rPr>
      </w:pPr>
    </w:p>
    <w:p>
      <w:pPr>
        <w:jc w:val="center"/>
        <w:rPr>
          <w:rFonts w:ascii="仿宋_GB2312" w:hAnsi="Calibri" w:eastAsia="仿宋_GB2312" w:cs="Times New Roman"/>
          <w:b/>
          <w:sz w:val="90"/>
          <w:szCs w:val="90"/>
          <w:highlight w:val="none"/>
        </w:rPr>
      </w:pPr>
      <w:r>
        <w:rPr>
          <w:rFonts w:hint="eastAsia" w:ascii="仿宋_GB2312" w:hAnsi="Calibri" w:eastAsia="仿宋_GB2312" w:cs="Times New Roman"/>
          <w:b/>
          <w:sz w:val="90"/>
          <w:szCs w:val="90"/>
          <w:highlight w:val="none"/>
        </w:rPr>
        <w:t>竞投文件</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40"/>
          <w:szCs w:val="72"/>
          <w:highlight w:val="none"/>
        </w:rPr>
      </w:pPr>
      <w:r>
        <w:rPr>
          <w:rFonts w:hint="eastAsia" w:ascii="仿宋_GB2312" w:hAnsi="Calibri" w:eastAsia="仿宋_GB2312" w:cs="Times New Roman"/>
          <w:sz w:val="40"/>
          <w:szCs w:val="72"/>
          <w:highlight w:val="none"/>
        </w:rPr>
        <w:t>（正本）</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rPr>
          <w:rFonts w:ascii="仿宋_GB2312" w:hAnsi="Calibri" w:eastAsia="仿宋_GB2312" w:cs="Times New Roman"/>
          <w:sz w:val="32"/>
          <w:szCs w:val="32"/>
          <w:highlight w:val="none"/>
          <w:u w:val="single"/>
        </w:rPr>
      </w:pPr>
      <w:r>
        <w:rPr>
          <w:rFonts w:hint="eastAsia" w:ascii="仿宋_GB2312" w:hAnsi="Calibri" w:eastAsia="仿宋_GB2312" w:cs="Times New Roman"/>
          <w:sz w:val="32"/>
          <w:szCs w:val="32"/>
          <w:highlight w:val="none"/>
        </w:rPr>
        <w:t>竞投单位：</w:t>
      </w:r>
    </w:p>
    <w:p>
      <w:pPr>
        <w:spacing w:line="400" w:lineRule="exac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竞投日期：</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年 </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月</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日</w:t>
      </w:r>
    </w:p>
    <w:p>
      <w:pPr>
        <w:keepNext/>
        <w:keepLines/>
        <w:spacing w:before="260" w:after="260" w:line="400" w:lineRule="exact"/>
        <w:outlineLvl w:val="1"/>
        <w:rPr>
          <w:rFonts w:ascii="仿宋_GB2312" w:hAnsi="Arial" w:eastAsia="仿宋_GB2312" w:cs="Times New Roman"/>
          <w:bCs/>
          <w:sz w:val="28"/>
          <w:szCs w:val="28"/>
          <w:highlight w:val="none"/>
        </w:rPr>
      </w:pPr>
      <w:r>
        <w:rPr>
          <w:rFonts w:hint="eastAsia" w:ascii="仿宋_GB2312" w:hAnsi="Arial" w:eastAsia="仿宋_GB2312" w:cs="Times New Roman"/>
          <w:bCs/>
          <w:sz w:val="24"/>
          <w:szCs w:val="24"/>
          <w:highlight w:val="none"/>
        </w:rPr>
        <w:t>附件2</w:t>
      </w:r>
      <w:r>
        <w:rPr>
          <w:rFonts w:hint="eastAsia" w:ascii="仿宋_GB2312" w:hAnsi="Arial" w:eastAsia="仿宋_GB2312" w:cs="Times New Roman"/>
          <w:bCs/>
          <w:sz w:val="28"/>
          <w:szCs w:val="28"/>
          <w:highlight w:val="none"/>
        </w:rPr>
        <w:t xml:space="preserve"> </w:t>
      </w: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竞投函</w:t>
      </w:r>
    </w:p>
    <w:p>
      <w:pPr>
        <w:spacing w:line="400" w:lineRule="exact"/>
        <w:rPr>
          <w:rFonts w:ascii="仿宋_GB2312" w:hAnsi="宋体" w:eastAsia="仿宋_GB2312" w:cs="Times New Roman"/>
          <w:b/>
          <w:bCs/>
          <w:sz w:val="24"/>
          <w:szCs w:val="24"/>
          <w:highlight w:val="none"/>
        </w:rPr>
      </w:pPr>
      <w:r>
        <w:rPr>
          <w:rFonts w:hint="eastAsia" w:ascii="仿宋_GB2312" w:hAnsi="宋体" w:eastAsia="仿宋_GB2312" w:cs="Times New Roman"/>
          <w:b/>
          <w:bCs/>
          <w:sz w:val="24"/>
          <w:szCs w:val="24"/>
          <w:highlight w:val="none"/>
        </w:rPr>
        <w:t xml:space="preserve">致: </w:t>
      </w:r>
      <w:r>
        <w:rPr>
          <w:rFonts w:hint="eastAsia" w:ascii="仿宋_GB2312" w:hAnsi="宋体" w:eastAsia="仿宋_GB2312" w:cs="宋体"/>
          <w:b/>
          <w:bCs/>
          <w:kern w:val="0"/>
          <w:sz w:val="24"/>
          <w:szCs w:val="24"/>
          <w:highlight w:val="none"/>
        </w:rPr>
        <w:t>广州市城壹房地产代理有限公司</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根据你方采购项目</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的竞投文件要求，我方在此声明并同意：</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我方愿意遵守采购文件的各项规定，按竞投文件的要求提供各项资料及报价。</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我方完全接受该项目竞投文件中关于竞投的规定，并同意放弃对这规定提出异议和质疑的权利。</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我方同意提供竞投文件要求的有关竞投的其它资料。</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我方承诺在本次竞投中提供的一切文件，无论是原件或是复印件均为真实和准确的，绝无任何虚假、伪造和夸大的成份。否则，我方愿意承担相应的后果和法律责任。</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我方完全理解，采购人并无义务必须接受最低报价的竞投或其它任何竞投。</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竞投人全称（加盖公章）:</w:t>
      </w:r>
    </w:p>
    <w:p>
      <w:pPr>
        <w:tabs>
          <w:tab w:val="left" w:pos="3600"/>
        </w:tabs>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法定代表人或其竞投人授权代表(</w:t>
      </w:r>
      <w:r>
        <w:rPr>
          <w:rFonts w:hint="eastAsia" w:ascii="仿宋_GB2312" w:hAnsi="宋体" w:eastAsia="仿宋_GB2312" w:cs="Times New Roman"/>
          <w:b/>
          <w:sz w:val="24"/>
          <w:szCs w:val="24"/>
          <w:highlight w:val="none"/>
        </w:rPr>
        <w:t>签字</w:t>
      </w:r>
      <w:r>
        <w:rPr>
          <w:rFonts w:hint="eastAsia" w:ascii="仿宋_GB2312" w:hAnsi="宋体" w:eastAsia="仿宋_GB2312" w:cs="Times New Roman"/>
          <w:bCs/>
          <w:sz w:val="24"/>
          <w:szCs w:val="24"/>
          <w:highlight w:val="none"/>
        </w:rPr>
        <w:t>)：</w:t>
      </w:r>
    </w:p>
    <w:p>
      <w:pPr>
        <w:spacing w:before="120" w:after="120"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日    期：         年      月     日</w:t>
      </w:r>
    </w:p>
    <w:p>
      <w:pPr>
        <w:keepNext/>
        <w:keepLines/>
        <w:spacing w:before="260" w:after="260" w:line="400" w:lineRule="exact"/>
        <w:outlineLvl w:val="1"/>
        <w:rPr>
          <w:rFonts w:ascii="仿宋_GB2312" w:hAnsi="宋体" w:eastAsia="仿宋_GB2312" w:cs="Times New Roman"/>
          <w:bCs/>
          <w:szCs w:val="21"/>
          <w:highlight w:val="none"/>
        </w:rPr>
      </w:pPr>
      <w:bookmarkStart w:id="9" w:name="_Toc234432974"/>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Calibri" w:eastAsia="仿宋_GB2312" w:cs="Times New Roman"/>
          <w:szCs w:val="24"/>
          <w:highlight w:val="none"/>
        </w:rPr>
      </w:pPr>
    </w:p>
    <w:p>
      <w:pPr>
        <w:keepNext/>
        <w:keepLines/>
        <w:spacing w:before="260" w:after="20" w:line="400" w:lineRule="exact"/>
        <w:outlineLvl w:val="1"/>
        <w:rPr>
          <w:rFonts w:ascii="仿宋_GB2312" w:hAnsi="Arial" w:eastAsia="仿宋_GB2312" w:cs="Times New Roman"/>
          <w:b/>
          <w:bCs/>
          <w:sz w:val="28"/>
          <w:szCs w:val="28"/>
          <w:highlight w:val="none"/>
        </w:rPr>
      </w:pPr>
      <w:bookmarkStart w:id="10" w:name="_Toc334797769"/>
      <w:r>
        <w:rPr>
          <w:rFonts w:hint="eastAsia" w:ascii="仿宋_GB2312" w:hAnsi="Arial" w:eastAsia="仿宋_GB2312" w:cs="Times New Roman"/>
          <w:bCs/>
          <w:sz w:val="24"/>
          <w:szCs w:val="24"/>
          <w:highlight w:val="none"/>
        </w:rPr>
        <w:t>附件3</w:t>
      </w:r>
    </w:p>
    <w:bookmarkEnd w:id="9"/>
    <w:bookmarkEnd w:id="10"/>
    <w:p>
      <w:pPr>
        <w:keepNext/>
        <w:keepLines/>
        <w:spacing w:before="260" w:after="260" w:line="400" w:lineRule="exact"/>
        <w:jc w:val="center"/>
        <w:outlineLvl w:val="1"/>
        <w:rPr>
          <w:rFonts w:ascii="仿宋_GB2312" w:hAnsi="宋体" w:eastAsia="仿宋_GB2312" w:cs="宋体"/>
          <w:sz w:val="32"/>
          <w:szCs w:val="32"/>
          <w:highlight w:val="none"/>
        </w:rPr>
      </w:pPr>
      <w:bookmarkStart w:id="11" w:name="_Toc334797770"/>
      <w:bookmarkStart w:id="12" w:name="_Toc334797771"/>
      <w:r>
        <w:rPr>
          <w:rFonts w:hint="eastAsia" w:ascii="仿宋_GB2312" w:hAnsi="宋体" w:eastAsia="仿宋_GB2312" w:cs="宋体"/>
          <w:b/>
          <w:bCs/>
          <w:sz w:val="32"/>
          <w:szCs w:val="32"/>
          <w:highlight w:val="none"/>
        </w:rPr>
        <w:t>法定代表人证明及授权书</w:t>
      </w:r>
    </w:p>
    <w:p>
      <w:pPr>
        <w:spacing w:line="400" w:lineRule="exact"/>
        <w:rPr>
          <w:rFonts w:ascii="仿宋_GB2312" w:hAnsi="宋体" w:eastAsia="仿宋_GB2312" w:cs="Times New Roman"/>
          <w:szCs w:val="21"/>
          <w:highlight w:val="none"/>
        </w:rPr>
      </w:pPr>
      <w:r>
        <w:rPr>
          <w:rFonts w:hint="eastAsia" w:ascii="仿宋_GB2312" w:hAnsi="宋体" w:eastAsia="仿宋_GB2312" w:cs="宋体"/>
          <w:bCs/>
          <w:kern w:val="0"/>
          <w:sz w:val="24"/>
          <w:szCs w:val="21"/>
          <w:highlight w:val="none"/>
        </w:rPr>
        <w:t>致: 广州市城壹房地产代理有限公司</w:t>
      </w:r>
      <w:r>
        <w:rPr>
          <w:rFonts w:hint="eastAsia" w:ascii="仿宋_GB2312" w:hAnsi="宋体" w:eastAsia="仿宋_GB2312" w:cs="Times New Roman"/>
          <w:szCs w:val="21"/>
          <w:highlight w:val="none"/>
        </w:rPr>
        <w:tab/>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本授权证明：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是注册于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的</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法定代表人，现任</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。在此授权</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作为我公司的全权代理人，在</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的竞投及其合同执行过程中，以我公司的名义处理一切与之有关的事务。</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本授权书于</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年</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月</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日起签字生效，特此声明。</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 xml:space="preserve">竞投人全称（公章）：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法定代表人（</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 xml:space="preserve">）：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被授权人(竞投人授权代表)（</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被授权人(竞投人授权代表)</w:t>
            </w:r>
          </w:p>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居民身份证复印件（盖章）</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
                <w:szCs w:val="21"/>
                <w:highlight w:val="none"/>
              </w:rPr>
              <w:t>粘贴处</w:t>
            </w:r>
          </w:p>
        </w:tc>
      </w:tr>
    </w:tbl>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附件4</w:t>
      </w:r>
      <w:r>
        <w:rPr>
          <w:rFonts w:ascii="仿宋_GB2312" w:hAnsi="Arial" w:eastAsia="仿宋_GB2312" w:cs="Times New Roman"/>
          <w:b/>
          <w:bCs/>
          <w:szCs w:val="21"/>
          <w:highlight w:val="none"/>
        </w:rPr>
        <w:t xml:space="preserve"> </w:t>
      </w:r>
    </w:p>
    <w:bookmarkEnd w:id="11"/>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竞投报价表</w:t>
      </w:r>
    </w:p>
    <w:p>
      <w:pPr>
        <w:spacing w:line="400" w:lineRule="exact"/>
        <w:rPr>
          <w:rFonts w:ascii="仿宋_GB2312" w:hAnsi="宋体" w:eastAsia="仿宋_GB2312" w:cs="Tahoma"/>
          <w:kern w:val="28"/>
          <w:szCs w:val="21"/>
          <w:highlight w:val="none"/>
        </w:rPr>
      </w:pPr>
      <w:r>
        <w:rPr>
          <w:rFonts w:hint="eastAsia" w:ascii="仿宋_GB2312" w:hAnsi="宋体" w:eastAsia="仿宋_GB2312" w:cs="Tahoma"/>
          <w:szCs w:val="21"/>
          <w:highlight w:val="none"/>
        </w:rPr>
        <w:t>项目名称</w:t>
      </w:r>
      <w:r>
        <w:rPr>
          <w:rFonts w:hint="eastAsia" w:ascii="仿宋_GB2312" w:hAnsi="宋体" w:eastAsia="仿宋_GB2312" w:cs="Tahoma"/>
          <w:kern w:val="28"/>
          <w:szCs w:val="21"/>
          <w:highlight w:val="none"/>
        </w:rPr>
        <w:t>：</w:t>
      </w:r>
      <w:r>
        <w:rPr>
          <w:rFonts w:hint="eastAsia" w:ascii="仿宋_GB2312" w:hAnsi="仿宋_GB2312" w:eastAsia="仿宋_GB2312" w:cs="仿宋_GB2312"/>
          <w:szCs w:val="21"/>
          <w:highlight w:val="none"/>
        </w:rPr>
        <w:t xml:space="preserve"> </w:t>
      </w:r>
      <w:r>
        <w:rPr>
          <w:rFonts w:hint="eastAsia" w:ascii="仿宋_GB2312" w:hAnsi="宋体" w:eastAsia="仿宋_GB2312" w:cs="Tahoma"/>
          <w:kern w:val="28"/>
          <w:szCs w:val="21"/>
          <w:highlight w:val="none"/>
        </w:rPr>
        <w:t xml:space="preserve">                                                  </w:t>
      </w:r>
      <w:r>
        <w:rPr>
          <w:rFonts w:hint="eastAsia" w:ascii="仿宋_GB2312" w:hAnsi="仿宋_GB2312" w:eastAsia="仿宋_GB2312" w:cs="仿宋_GB2312"/>
          <w:szCs w:val="21"/>
          <w:highlight w:val="none"/>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序号</w:t>
            </w:r>
          </w:p>
        </w:tc>
        <w:tc>
          <w:tcPr>
            <w:tcW w:w="3911"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报价内容</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报价金额</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1</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竞投总报价（含税）</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2</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不含税报价</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3</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增值税费</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4</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增值税专用发票税率（%）</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bl>
    <w:p>
      <w:pPr>
        <w:spacing w:line="400" w:lineRule="exact"/>
        <w:rPr>
          <w:rFonts w:ascii="仿宋_GB2312" w:hAnsi="宋体" w:eastAsia="仿宋_GB2312" w:cs="Times New Roman"/>
          <w:bCs/>
          <w:szCs w:val="21"/>
          <w:highlight w:val="none"/>
        </w:rPr>
      </w:pPr>
    </w:p>
    <w:p>
      <w:pPr>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竞投人全称（公章）:</w:t>
      </w:r>
    </w:p>
    <w:p>
      <w:pPr>
        <w:tabs>
          <w:tab w:val="left" w:pos="3600"/>
        </w:tabs>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法定代表人或其竞投人授权代表(</w:t>
      </w:r>
      <w:r>
        <w:rPr>
          <w:rFonts w:hint="eastAsia" w:ascii="仿宋_GB2312" w:hAnsi="宋体" w:eastAsia="仿宋_GB2312" w:cs="Times New Roman"/>
          <w:b/>
          <w:szCs w:val="21"/>
          <w:highlight w:val="none"/>
        </w:rPr>
        <w:t>签字</w:t>
      </w:r>
      <w:r>
        <w:rPr>
          <w:rFonts w:hint="eastAsia" w:ascii="仿宋_GB2312" w:hAnsi="宋体" w:eastAsia="仿宋_GB2312" w:cs="Times New Roman"/>
          <w:bCs/>
          <w:szCs w:val="21"/>
          <w:highlight w:val="none"/>
        </w:rPr>
        <w:t>)：</w:t>
      </w:r>
    </w:p>
    <w:p>
      <w:pPr>
        <w:spacing w:before="120" w:after="120"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日    期：         年      月     日</w:t>
      </w:r>
    </w:p>
    <w:p>
      <w:pPr>
        <w:spacing w:line="400" w:lineRule="exact"/>
        <w:rPr>
          <w:rFonts w:ascii="Calibri" w:hAnsi="Calibri" w:eastAsia="宋体" w:cs="Times New Roman"/>
          <w:szCs w:val="24"/>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bookmarkEnd w:id="12"/>
    <w:p>
      <w:pPr>
        <w:keepNext/>
        <w:keepLines/>
        <w:spacing w:before="260" w:after="260" w:line="400" w:lineRule="exact"/>
        <w:outlineLvl w:val="1"/>
        <w:rPr>
          <w:rFonts w:ascii="仿宋_GB2312" w:hAnsi="Arial" w:eastAsia="仿宋_GB2312" w:cs="Times New Roman"/>
          <w:b/>
          <w:bCs/>
          <w:sz w:val="32"/>
          <w:szCs w:val="32"/>
          <w:highlight w:val="none"/>
        </w:rPr>
      </w:pPr>
      <w:bookmarkStart w:id="13" w:name="_Toc334797774"/>
      <w:r>
        <w:rPr>
          <w:rFonts w:ascii="仿宋_GB2312" w:hAnsi="Arial" w:eastAsia="仿宋_GB2312" w:cs="Times New Roman"/>
          <w:b/>
          <w:bCs/>
          <w:sz w:val="32"/>
          <w:szCs w:val="32"/>
          <w:highlight w:val="none"/>
        </w:rPr>
        <w:br w:type="page"/>
      </w:r>
      <w:bookmarkEnd w:id="13"/>
    </w:p>
    <w:p>
      <w:pPr>
        <w:keepNext/>
        <w:keepLines/>
        <w:spacing w:before="260" w:after="260" w:line="400" w:lineRule="exact"/>
        <w:outlineLvl w:val="1"/>
        <w:rPr>
          <w:rFonts w:hint="eastAsia" w:ascii="仿宋_GB2312" w:hAnsi="Arial" w:eastAsia="仿宋_GB2312" w:cs="Times New Roman"/>
          <w:bCs/>
          <w:sz w:val="24"/>
          <w:szCs w:val="24"/>
          <w:highlight w:val="none"/>
        </w:rPr>
      </w:pPr>
      <w:r>
        <w:rPr>
          <w:rFonts w:hint="eastAsia" w:ascii="仿宋_GB2312" w:hAnsi="Arial" w:eastAsia="仿宋_GB2312" w:cs="Times New Roman"/>
          <w:bCs/>
          <w:sz w:val="24"/>
          <w:szCs w:val="24"/>
          <w:highlight w:val="none"/>
        </w:rPr>
        <w:t>附件5</w:t>
      </w:r>
    </w:p>
    <w:p>
      <w:pPr>
        <w:keepNext/>
        <w:keepLines/>
        <w:spacing w:before="260" w:after="260" w:line="400" w:lineRule="exact"/>
        <w:jc w:val="center"/>
        <w:outlineLvl w:val="1"/>
        <w:rPr>
          <w:rFonts w:hint="eastAsia" w:ascii="仿宋_GB2312" w:hAnsi="宋体" w:eastAsia="仿宋_GB2312" w:cs="宋体"/>
          <w:b/>
          <w:bCs/>
          <w:sz w:val="32"/>
          <w:szCs w:val="32"/>
          <w:highlight w:val="none"/>
          <w:lang w:val="en-US" w:eastAsia="zh-CN"/>
        </w:rPr>
      </w:pPr>
      <w:r>
        <w:rPr>
          <w:rFonts w:hint="eastAsia" w:ascii="仿宋_GB2312" w:hAnsi="宋体" w:eastAsia="仿宋_GB2312" w:cs="宋体"/>
          <w:b/>
          <w:bCs/>
          <w:sz w:val="32"/>
          <w:szCs w:val="32"/>
          <w:highlight w:val="none"/>
          <w:lang w:val="en-US" w:eastAsia="zh-CN"/>
        </w:rPr>
        <w:t>竞投报价执行清单</w:t>
      </w:r>
    </w:p>
    <w:tbl>
      <w:tblPr>
        <w:tblStyle w:val="6"/>
        <w:tblpPr w:leftFromText="180" w:rightFromText="180" w:vertAnchor="text" w:horzAnchor="page" w:tblpX="662" w:tblpY="617"/>
        <w:tblOverlap w:val="never"/>
        <w:tblW w:w="11036" w:type="dxa"/>
        <w:tblInd w:w="0" w:type="dxa"/>
        <w:shd w:val="clear" w:color="auto" w:fill="auto"/>
        <w:tblLayout w:type="fixed"/>
        <w:tblCellMar>
          <w:top w:w="0" w:type="dxa"/>
          <w:left w:w="108" w:type="dxa"/>
          <w:bottom w:w="0" w:type="dxa"/>
          <w:right w:w="108" w:type="dxa"/>
        </w:tblCellMar>
      </w:tblPr>
      <w:tblGrid>
        <w:gridCol w:w="599"/>
        <w:gridCol w:w="1219"/>
        <w:gridCol w:w="3963"/>
        <w:gridCol w:w="748"/>
        <w:gridCol w:w="863"/>
        <w:gridCol w:w="1329"/>
        <w:gridCol w:w="1315"/>
        <w:gridCol w:w="1000"/>
      </w:tblGrid>
      <w:tr>
        <w:tblPrEx>
          <w:shd w:val="clear" w:color="auto" w:fill="auto"/>
          <w:tblCellMar>
            <w:top w:w="0" w:type="dxa"/>
            <w:left w:w="108" w:type="dxa"/>
            <w:bottom w:w="0" w:type="dxa"/>
            <w:right w:w="108" w:type="dxa"/>
          </w:tblCellMar>
        </w:tblPrEx>
        <w:trPr>
          <w:trHeight w:val="735"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内容                                                                   </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说明                                                                                                               </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单位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（单位：元）</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单项小计</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（单位：元）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420"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b/>
                <w:bCs/>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搭建布置</w:t>
            </w: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场外布置</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区域指示牌，尺寸：L1m*H2m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户外背景板，尺寸：L6m*H3m，0.8m包边，1块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主题背景板，10m*3m，0.6m包边，1块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欢迎背景板，5m*3m，0.6m包边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摊位布置</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展位主题背景板，拉网展架+kt板，12方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商家摊位，特装，9方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7</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摊位装饰，布置道具，沙发、圆桌、企业介绍牌</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直播柔光灯，直播用光</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9</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空调扇，每个展位配备一个</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10</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舞台区域</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屏幕周边装饰，雪弗板装饰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11</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舞台板，舞台板6m*2m+深灰色地毯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12</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舞台台阶，6米台阶</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13</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舞台地毯，30方地毯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14</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舞台立体字，logo特装雪弗板装饰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15</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提词器，60寸电视机</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16</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折叠椅，白色折叠椅</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65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17</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桌子，蓝色桌布+1.2mIBM桌子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18</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氛围布置</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发光立体字，铁质发光立体字，3米</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19</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美陈布置，主题icon布置</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刀旗，底座+3米旗面</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21</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彩旗，主会场彩旗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22</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会场门口堆头，氛围装饰盒子，主题气氛道具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影像设备</w:t>
            </w: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23</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影像设备+直播设备</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定点机位，包含后期剪辑活动全程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24</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导播台，机位切换设备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25</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导播台导演，专业导播台导演</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26</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直播平台，微赞直播平台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27</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音响，单十五音响</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28</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收音麦，直播平台收音设备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29</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推流设备，T80推流器推流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30</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网络基站，直播平台使用</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其他费用</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31</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其他费用</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运输费，搭建物料运输费用</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32</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搭建费用，搭建工人进场、撤场、执行</w:t>
            </w:r>
          </w:p>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人员</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33</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设计费用，活动设计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34</w:t>
            </w:r>
          </w:p>
        </w:tc>
        <w:tc>
          <w:tcPr>
            <w:tcW w:w="12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兼职人员</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35</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主持人费用</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bl>
    <w:p>
      <w:pPr>
        <w:keepNext/>
        <w:keepLines/>
        <w:spacing w:before="260" w:after="260" w:line="400" w:lineRule="exact"/>
        <w:outlineLvl w:val="1"/>
        <w:rPr>
          <w:rFonts w:hint="default" w:ascii="仿宋_GB2312" w:hAnsi="Arial" w:eastAsia="仿宋_GB2312" w:cs="Times New Roman"/>
          <w:bCs/>
          <w:sz w:val="24"/>
          <w:szCs w:val="24"/>
          <w:highlight w:val="none"/>
          <w:lang w:val="en-US" w:eastAsia="zh-CN"/>
        </w:rPr>
      </w:pPr>
    </w:p>
    <w:p>
      <w:pPr>
        <w:keepNext/>
        <w:keepLines/>
        <w:spacing w:before="260" w:after="260" w:line="400" w:lineRule="exact"/>
        <w:outlineLvl w:val="1"/>
        <w:rPr>
          <w:rFonts w:hint="default" w:ascii="仿宋" w:hAnsi="仿宋" w:eastAsia="仿宋" w:cs="Times New Roman"/>
          <w:szCs w:val="21"/>
          <w:highlight w:val="none"/>
          <w:lang w:val="en-US" w:eastAsia="zh-CN"/>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widowControl/>
        <w:tabs>
          <w:tab w:val="left" w:pos="7380"/>
        </w:tabs>
        <w:spacing w:line="480" w:lineRule="atLeast"/>
        <w:rPr>
          <w:rFonts w:ascii="宋体" w:hAnsi="宋体" w:eastAsia="宋体" w:cs="Times New Roman"/>
          <w:sz w:val="24"/>
          <w:szCs w:val="24"/>
          <w:highlight w:val="none"/>
        </w:rPr>
      </w:pPr>
    </w:p>
    <w:p>
      <w:pPr>
        <w:keepNext/>
        <w:keepLines/>
        <w:spacing w:before="260" w:after="260" w:line="400" w:lineRule="exact"/>
        <w:jc w:val="left"/>
        <w:outlineLvl w:val="1"/>
        <w:rPr>
          <w:rFonts w:hint="eastAsia" w:ascii="仿宋_GB2312" w:hAnsi="Arial" w:eastAsia="仿宋_GB2312" w:cs="Times New Roman"/>
          <w:bCs/>
          <w:sz w:val="24"/>
          <w:szCs w:val="24"/>
          <w:highlight w:val="none"/>
          <w:lang w:val="en-US" w:eastAsia="zh-CN"/>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6</w:t>
      </w:r>
    </w:p>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资格文件声明的函</w:t>
      </w:r>
    </w:p>
    <w:p>
      <w:pPr>
        <w:widowControl/>
        <w:tabs>
          <w:tab w:val="left" w:pos="7380"/>
        </w:tabs>
        <w:spacing w:line="480" w:lineRule="atLeast"/>
        <w:rPr>
          <w:rFonts w:hint="eastAsia" w:ascii="仿宋_GB2312" w:hAnsi="宋体" w:eastAsia="仿宋_GB2312" w:cs="Times New Roman"/>
          <w:szCs w:val="21"/>
          <w:highlight w:val="none"/>
        </w:rPr>
      </w:pPr>
    </w:p>
    <w:p>
      <w:pPr>
        <w:widowControl/>
        <w:tabs>
          <w:tab w:val="left" w:pos="7380"/>
        </w:tabs>
        <w:spacing w:line="480" w:lineRule="atLeast"/>
        <w:rPr>
          <w:rFonts w:ascii="仿宋_GB2312" w:hAnsi="宋体" w:eastAsia="仿宋_GB2312" w:cs="Times New Roman"/>
          <w:szCs w:val="21"/>
          <w:highlight w:val="none"/>
        </w:rPr>
      </w:pPr>
      <w:r>
        <w:rPr>
          <w:rFonts w:hint="eastAsia" w:ascii="仿宋_GB2312" w:hAnsi="宋体" w:eastAsia="仿宋_GB2312" w:cs="Times New Roman"/>
          <w:szCs w:val="21"/>
          <w:highlight w:val="none"/>
        </w:rPr>
        <w:t>广州市城壹房地产代理有限公司：</w:t>
      </w:r>
    </w:p>
    <w:p>
      <w:pPr>
        <w:widowControl/>
        <w:tabs>
          <w:tab w:val="left" w:pos="7380"/>
        </w:tabs>
        <w:spacing w:line="480" w:lineRule="atLeast"/>
        <w:rPr>
          <w:rFonts w:ascii="仿宋_GB2312" w:hAnsi="宋体" w:eastAsia="仿宋_GB2312" w:cs="Times New Roman"/>
          <w:szCs w:val="21"/>
          <w:highlight w:val="none"/>
        </w:rPr>
      </w:pPr>
    </w:p>
    <w:p>
      <w:pPr>
        <w:spacing w:line="36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关于贵方</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项目的</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highlight w:val="none"/>
        </w:rPr>
      </w:pPr>
      <w:r>
        <w:rPr>
          <w:rFonts w:hint="eastAsia" w:ascii="仿宋_GB2312" w:hAnsi="宋体" w:eastAsia="仿宋_GB2312" w:cs="Times New Roman"/>
          <w:szCs w:val="21"/>
          <w:highlight w:val="none"/>
        </w:rPr>
        <w:t>本竞投人授权贵方及本项目</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人可以向我单位开户银行查询我单位的财务状况。</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承诺：</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1）我司没有被责令停业或破产状态的；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2）我司没有被暂停或取消竞投资格的；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3）我司没有财产被重组、接管、查封、扣押或冻结的；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4）我司没有在营业期间有骗取中标或严重违约的；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lang w:val="en-US" w:eastAsia="zh-CN"/>
        </w:rPr>
        <w:t>竞投</w:t>
      </w:r>
      <w:r>
        <w:rPr>
          <w:rFonts w:hint="eastAsia" w:ascii="仿宋_GB2312" w:hAnsi="宋体" w:eastAsia="仿宋_GB2312" w:cs="Times New Roman"/>
          <w:szCs w:val="21"/>
          <w:highlight w:val="none"/>
        </w:rPr>
        <w:t>人名称:</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u w:val="single"/>
        </w:rPr>
        <w:tab/>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u w:val="single"/>
        </w:rPr>
      </w:pPr>
      <w:r>
        <w:rPr>
          <w:rFonts w:hint="eastAsia" w:ascii="仿宋_GB2312" w:hAnsi="宋体" w:eastAsia="仿宋_GB2312" w:cs="Times New Roman"/>
          <w:szCs w:val="24"/>
          <w:highlight w:val="none"/>
          <w:lang w:val="en-US" w:eastAsia="zh-CN"/>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300" w:lineRule="auto"/>
        <w:rPr>
          <w:rFonts w:ascii="仿宋_GB2312" w:hAnsi="宋体" w:eastAsia="仿宋_GB2312" w:cs="Times New Roman"/>
          <w:szCs w:val="21"/>
          <w:highlight w:val="none"/>
          <w:u w:val="singl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日期：  年   月   日</w:t>
      </w:r>
    </w:p>
    <w:p>
      <w:pPr>
        <w:spacing w:line="300" w:lineRule="auto"/>
        <w:rPr>
          <w:rFonts w:ascii="宋体" w:hAnsi="宋体" w:eastAsia="宋体" w:cs="Times New Roman"/>
          <w:sz w:val="24"/>
          <w:szCs w:val="24"/>
          <w:highlight w:val="none"/>
        </w:rPr>
      </w:pPr>
    </w:p>
    <w:p>
      <w:pPr>
        <w:keepNext/>
        <w:keepLines/>
        <w:spacing w:before="260" w:after="260" w:line="400" w:lineRule="exact"/>
        <w:outlineLvl w:val="1"/>
        <w:rPr>
          <w:rFonts w:ascii="宋体" w:hAnsi="宋体" w:eastAsia="黑体" w:cs="Times New Roman"/>
          <w:b/>
          <w:bCs/>
          <w:sz w:val="24"/>
          <w:szCs w:val="32"/>
          <w:highlight w:val="none"/>
        </w:rPr>
      </w:pPr>
      <w:r>
        <w:rPr>
          <w:rFonts w:ascii="宋体" w:hAnsi="宋体" w:eastAsia="黑体" w:cs="Times New Roman"/>
          <w:b/>
          <w:bCs/>
          <w:sz w:val="24"/>
          <w:szCs w:val="32"/>
          <w:highlight w:val="none"/>
        </w:rPr>
        <w:br w:type="page"/>
      </w:r>
    </w:p>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7</w:t>
      </w:r>
    </w:p>
    <w:p>
      <w:pPr>
        <w:keepNext/>
        <w:keepLines/>
        <w:spacing w:before="260" w:after="260" w:line="400" w:lineRule="exact"/>
        <w:jc w:val="center"/>
        <w:outlineLvl w:val="1"/>
        <w:rPr>
          <w:rFonts w:ascii="宋体" w:hAnsi="宋体" w:eastAsia="黑体" w:cs="Times New Roman"/>
          <w:b/>
          <w:bCs/>
          <w:sz w:val="28"/>
          <w:szCs w:val="28"/>
          <w:highlight w:val="none"/>
        </w:rPr>
      </w:pPr>
      <w:r>
        <w:rPr>
          <w:rFonts w:hint="eastAsia" w:ascii="仿宋_GB2312" w:hAnsi="宋体" w:eastAsia="仿宋_GB2312" w:cs="宋体"/>
          <w:b/>
          <w:bCs/>
          <w:sz w:val="32"/>
          <w:szCs w:val="32"/>
          <w:highlight w:val="none"/>
        </w:rPr>
        <w:t>业绩一览表</w:t>
      </w:r>
    </w:p>
    <w:p>
      <w:pPr>
        <w:spacing w:line="400" w:lineRule="exact"/>
        <w:jc w:val="center"/>
        <w:rPr>
          <w:rFonts w:ascii="宋体" w:hAnsi="宋体" w:eastAsia="宋体" w:cs="Times New Roman"/>
          <w:b/>
          <w:bCs/>
          <w:sz w:val="28"/>
          <w:szCs w:val="28"/>
          <w:highlight w:val="none"/>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highlight w:val="none"/>
              </w:rPr>
            </w:pPr>
            <w:r>
              <w:rPr>
                <w:rFonts w:hint="eastAsia" w:ascii="仿宋_GB2312" w:hAnsi="宋体" w:eastAsia="仿宋_GB2312" w:cs="Arial"/>
                <w:sz w:val="24"/>
                <w:szCs w:val="24"/>
                <w:highlight w:val="none"/>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r>
    </w:tbl>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 w:hAnsi="仿宋" w:eastAsia="仿宋" w:cs="Times New Roman"/>
          <w:szCs w:val="21"/>
          <w:highlight w:val="none"/>
        </w:rPr>
        <w:t>竞投</w:t>
      </w:r>
      <w:r>
        <w:rPr>
          <w:rFonts w:hint="eastAsia" w:ascii="仿宋_GB2312" w:hAnsi="宋体" w:eastAsia="仿宋_GB2312" w:cs="Times New Roman"/>
          <w:szCs w:val="21"/>
          <w:highlight w:val="none"/>
        </w:rPr>
        <w:t xml:space="preserve">人名称: </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u w:val="single"/>
        </w:rPr>
      </w:pPr>
      <w:r>
        <w:rPr>
          <w:rFonts w:hint="eastAsia" w:ascii="仿宋" w:hAnsi="仿宋" w:eastAsia="仿宋" w:cs="Times New Roman"/>
          <w:szCs w:val="21"/>
          <w:highlight w:val="none"/>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400" w:lineRule="exact"/>
        <w:rPr>
          <w:rFonts w:ascii="仿宋_GB2312" w:hAnsi="宋体" w:eastAsia="仿宋_GB2312" w:cs="Times New Roman"/>
          <w:szCs w:val="21"/>
          <w:highlight w:val="none"/>
          <w:u w:val="single"/>
        </w:rPr>
      </w:pP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日期：  年   月   日</w:t>
      </w: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keepNext/>
        <w:keepLines/>
        <w:spacing w:before="260" w:after="260" w:line="400" w:lineRule="exact"/>
        <w:outlineLvl w:val="1"/>
        <w:rPr>
          <w:rFonts w:ascii="宋体" w:hAnsi="宋体" w:eastAsia="黑体" w:cs="Times New Roman"/>
          <w:bCs/>
          <w:sz w:val="24"/>
          <w:szCs w:val="32"/>
          <w:highlight w:val="none"/>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8</w:t>
      </w:r>
      <w:r>
        <w:rPr>
          <w:rFonts w:hint="eastAsia" w:ascii="宋体" w:hAnsi="宋体" w:eastAsia="黑体" w:cs="Times New Roman"/>
          <w:b/>
          <w:bCs/>
          <w:sz w:val="24"/>
          <w:szCs w:val="32"/>
          <w:highlight w:val="none"/>
        </w:rPr>
        <w:t xml:space="preserve">           </w:t>
      </w:r>
    </w:p>
    <w:p>
      <w:pPr>
        <w:spacing w:line="300" w:lineRule="auto"/>
        <w:jc w:val="center"/>
        <w:rPr>
          <w:rFonts w:hint="default" w:ascii="仿宋_GB2312" w:hAnsi="宋体" w:eastAsia="仿宋_GB2312" w:cs="宋体"/>
          <w:b/>
          <w:bCs/>
          <w:spacing w:val="20"/>
          <w:kern w:val="44"/>
          <w:sz w:val="32"/>
          <w:szCs w:val="32"/>
          <w:highlight w:val="none"/>
          <w:lang w:val="en-US" w:eastAsia="zh-CN"/>
        </w:rPr>
      </w:pPr>
      <w:r>
        <w:rPr>
          <w:rFonts w:hint="eastAsia" w:ascii="仿宋_GB2312" w:hAnsi="宋体" w:eastAsia="仿宋_GB2312" w:cs="宋体"/>
          <w:b/>
          <w:bCs/>
          <w:spacing w:val="20"/>
          <w:kern w:val="44"/>
          <w:sz w:val="32"/>
          <w:szCs w:val="32"/>
          <w:highlight w:val="none"/>
          <w:lang w:val="en-US" w:eastAsia="zh-CN"/>
        </w:rPr>
        <w:t>花果山特色小镇有意思实验室活动</w:t>
      </w:r>
    </w:p>
    <w:p>
      <w:pPr>
        <w:spacing w:line="300" w:lineRule="auto"/>
        <w:jc w:val="center"/>
        <w:rPr>
          <w:rFonts w:ascii="宋体" w:hAnsi="宋体" w:eastAsia="宋体" w:cs="Times New Roman"/>
          <w:szCs w:val="21"/>
          <w:highlight w:val="none"/>
        </w:rPr>
      </w:pPr>
      <w:r>
        <w:rPr>
          <w:rFonts w:hint="eastAsia" w:ascii="仿宋_GB2312" w:hAnsi="宋体" w:eastAsia="仿宋_GB2312" w:cs="宋体"/>
          <w:b/>
          <w:bCs/>
          <w:spacing w:val="20"/>
          <w:kern w:val="44"/>
          <w:sz w:val="32"/>
          <w:szCs w:val="32"/>
          <w:highlight w:val="none"/>
        </w:rPr>
        <w:t>服务采购项目</w:t>
      </w:r>
      <w:r>
        <w:rPr>
          <w:rFonts w:hint="eastAsia" w:ascii="仿宋_GB2312" w:hAnsi="宋体" w:eastAsia="仿宋_GB2312" w:cs="宋体"/>
          <w:b/>
          <w:bCs/>
          <w:sz w:val="32"/>
          <w:szCs w:val="32"/>
          <w:highlight w:val="none"/>
          <w:lang w:val="en-US" w:eastAsia="zh-CN"/>
        </w:rPr>
        <w:t>服务建议书</w:t>
      </w:r>
    </w:p>
    <w:p>
      <w:pPr>
        <w:spacing w:line="300" w:lineRule="auto"/>
        <w:rPr>
          <w:rFonts w:hint="eastAsia" w:ascii="仿宋" w:hAnsi="仿宋" w:eastAsia="仿宋" w:cs="Times New Roman"/>
          <w:szCs w:val="21"/>
          <w:highlight w:val="none"/>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rPr>
        <w:t>内容包括但不限于：</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1、场外布置（区域指示牌、户外背景板、主题背景板）</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2、摊位布置（展位主题背景板、商家摊位、摊位装饰）</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3、舞台区域（屏幕周边装饰、舞台板、舞台台阶、舞台地毯）</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4、氛围布置（发光立体字、美陈布置、刀旗、彩旗、会场门口堆头）</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5、影像设备（定点机位、导播台、直播平台、音响、收音麦、推流设备）</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6、其他物料（折叠椅、桌子）</w:t>
      </w:r>
    </w:p>
    <w:p>
      <w:pPr>
        <w:widowControl/>
        <w:numPr>
          <w:ilvl w:val="-1"/>
          <w:numId w:val="0"/>
        </w:numPr>
        <w:spacing w:line="400" w:lineRule="exact"/>
        <w:rPr>
          <w:rFonts w:hint="eastAsia" w:ascii="仿宋" w:hAnsi="仿宋" w:eastAsia="仿宋" w:cs="Times New Roman"/>
          <w:sz w:val="21"/>
          <w:szCs w:val="21"/>
          <w:highlight w:val="none"/>
          <w:lang w:eastAsia="zh-CN"/>
        </w:rPr>
      </w:pPr>
      <w:r>
        <w:rPr>
          <w:rFonts w:hint="eastAsia" w:ascii="仿宋" w:hAnsi="仿宋" w:eastAsia="仿宋" w:cs="Times New Roman"/>
          <w:bCs w:val="0"/>
          <w:sz w:val="21"/>
          <w:szCs w:val="21"/>
          <w:highlight w:val="none"/>
          <w:lang w:val="en-US" w:eastAsia="zh-CN"/>
        </w:rPr>
        <w:t>7、</w:t>
      </w:r>
      <w:r>
        <w:rPr>
          <w:rFonts w:hint="eastAsia" w:ascii="仿宋" w:hAnsi="仿宋" w:eastAsia="仿宋" w:cs="Times New Roman"/>
          <w:sz w:val="21"/>
          <w:szCs w:val="21"/>
          <w:highlight w:val="none"/>
        </w:rPr>
        <w:t>安装人工</w:t>
      </w:r>
      <w:r>
        <w:rPr>
          <w:rFonts w:hint="eastAsia" w:ascii="仿宋" w:hAnsi="仿宋" w:eastAsia="仿宋" w:cs="Times New Roman"/>
          <w:sz w:val="21"/>
          <w:szCs w:val="21"/>
          <w:highlight w:val="none"/>
          <w:lang w:eastAsia="zh-CN"/>
        </w:rPr>
        <w:t>（</w:t>
      </w:r>
      <w:r>
        <w:rPr>
          <w:rFonts w:hint="eastAsia" w:ascii="仿宋" w:hAnsi="仿宋" w:eastAsia="仿宋" w:cs="Times New Roman"/>
          <w:sz w:val="21"/>
          <w:szCs w:val="21"/>
          <w:highlight w:val="none"/>
          <w:lang w:val="en-US" w:eastAsia="zh-CN"/>
        </w:rPr>
        <w:t>搭建物料进场/撤场、执行人员</w:t>
      </w:r>
      <w:r>
        <w:rPr>
          <w:rFonts w:hint="eastAsia" w:ascii="仿宋" w:hAnsi="仿宋" w:eastAsia="仿宋" w:cs="Times New Roman"/>
          <w:sz w:val="21"/>
          <w:szCs w:val="21"/>
          <w:highlight w:val="none"/>
          <w:lang w:eastAsia="zh-CN"/>
        </w:rPr>
        <w:t>）</w:t>
      </w:r>
    </w:p>
    <w:p>
      <w:pPr>
        <w:widowControl/>
        <w:numPr>
          <w:ilvl w:val="-1"/>
          <w:numId w:val="0"/>
        </w:numPr>
        <w:spacing w:line="400" w:lineRule="exact"/>
        <w:rPr>
          <w:rFonts w:hint="default"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8、物料运输及活动设计</w:t>
      </w:r>
    </w:p>
    <w:p>
      <w:pPr>
        <w:keepNext w:val="0"/>
        <w:keepLines w:val="0"/>
        <w:spacing w:before="0" w:after="0" w:line="300" w:lineRule="auto"/>
        <w:outlineLvl w:val="9"/>
        <w:rPr>
          <w:rFonts w:hint="default" w:ascii="仿宋" w:hAnsi="仿宋" w:eastAsia="仿宋" w:cs="Times New Roman"/>
          <w:szCs w:val="21"/>
          <w:highlight w:val="none"/>
          <w:lang w:val="en-US" w:eastAsia="zh-CN"/>
        </w:rPr>
      </w:pPr>
      <w:r>
        <w:rPr>
          <w:rFonts w:hint="eastAsia" w:ascii="仿宋" w:hAnsi="仿宋" w:eastAsia="仿宋" w:cs="Times New Roman"/>
          <w:bCs w:val="0"/>
          <w:sz w:val="21"/>
          <w:szCs w:val="21"/>
          <w:highlight w:val="none"/>
          <w:lang w:val="en-US" w:eastAsia="zh-CN"/>
        </w:rPr>
        <w:t>9、</w:t>
      </w:r>
      <w:r>
        <w:rPr>
          <w:rFonts w:hint="eastAsia" w:ascii="仿宋" w:hAnsi="仿宋" w:eastAsia="仿宋" w:cs="Times New Roman"/>
          <w:szCs w:val="21"/>
          <w:highlight w:val="none"/>
          <w:lang w:val="en-US" w:eastAsia="zh-CN"/>
        </w:rPr>
        <w:t>《竞投报价执行清单》竞投报价执行清单</w:t>
      </w:r>
    </w:p>
    <w:p>
      <w:pPr>
        <w:widowControl/>
        <w:numPr>
          <w:ilvl w:val="-1"/>
          <w:numId w:val="0"/>
        </w:numPr>
        <w:spacing w:line="300" w:lineRule="auto"/>
        <w:outlineLvl w:val="9"/>
        <w:rPr>
          <w:rFonts w:ascii="仿宋" w:hAnsi="仿宋" w:eastAsia="仿宋" w:cs="Times New Roman"/>
          <w:szCs w:val="21"/>
          <w:highlight w:val="none"/>
        </w:rPr>
      </w:pPr>
      <w:r>
        <w:rPr>
          <w:rFonts w:hint="eastAsia" w:ascii="仿宋" w:hAnsi="仿宋" w:eastAsia="仿宋" w:cs="Times New Roman"/>
          <w:szCs w:val="21"/>
          <w:highlight w:val="none"/>
          <w:lang w:val="en-US" w:eastAsia="zh-CN"/>
        </w:rPr>
        <w:t>10、项目方案（效果图、文字描述等）</w:t>
      </w:r>
    </w:p>
    <w:p>
      <w:pPr>
        <w:spacing w:line="300" w:lineRule="auto"/>
        <w:rPr>
          <w:rFonts w:hint="eastAsia" w:ascii="仿宋" w:hAnsi="仿宋" w:eastAsia="仿宋" w:cs="Times New Roman"/>
          <w:szCs w:val="21"/>
          <w:highlight w:val="none"/>
          <w:lang w:val="en-US" w:eastAsia="zh-CN"/>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lang w:val="en-US" w:eastAsia="zh-CN"/>
        </w:rPr>
        <w:t>*</w:t>
      </w:r>
      <w:r>
        <w:rPr>
          <w:rFonts w:hint="eastAsia" w:ascii="仿宋" w:hAnsi="仿宋" w:eastAsia="仿宋" w:cs="Times New Roman"/>
          <w:szCs w:val="21"/>
          <w:highlight w:val="none"/>
          <w:lang w:eastAsia="zh-CN"/>
        </w:rPr>
        <w:t>具体</w:t>
      </w:r>
      <w:r>
        <w:rPr>
          <w:rFonts w:hint="eastAsia" w:ascii="仿宋" w:hAnsi="仿宋" w:eastAsia="仿宋" w:cs="Times New Roman"/>
          <w:szCs w:val="21"/>
          <w:highlight w:val="none"/>
          <w:lang w:val="en-US" w:eastAsia="zh-CN"/>
        </w:rPr>
        <w:t>执行落地</w:t>
      </w:r>
      <w:r>
        <w:rPr>
          <w:rFonts w:hint="eastAsia" w:ascii="仿宋" w:hAnsi="仿宋" w:eastAsia="仿宋" w:cs="Times New Roman"/>
          <w:szCs w:val="21"/>
          <w:highlight w:val="none"/>
          <w:lang w:eastAsia="zh-CN"/>
        </w:rPr>
        <w:t>标准、施工工程量、材料材质和结构尺寸等</w:t>
      </w:r>
      <w:r>
        <w:rPr>
          <w:rFonts w:hint="eastAsia" w:ascii="仿宋" w:hAnsi="仿宋" w:eastAsia="仿宋" w:cs="Times New Roman"/>
          <w:szCs w:val="21"/>
          <w:highlight w:val="none"/>
        </w:rPr>
        <w:t>内容</w:t>
      </w:r>
      <w:r>
        <w:rPr>
          <w:rFonts w:hint="eastAsia" w:ascii="仿宋" w:hAnsi="仿宋" w:eastAsia="仿宋" w:cs="Times New Roman"/>
          <w:szCs w:val="21"/>
          <w:highlight w:val="none"/>
          <w:lang w:eastAsia="zh-CN"/>
        </w:rPr>
        <w:t>可参考</w:t>
      </w:r>
      <w:r>
        <w:rPr>
          <w:rFonts w:hint="eastAsia" w:ascii="仿宋" w:hAnsi="仿宋" w:eastAsia="仿宋" w:cs="Times New Roman"/>
          <w:szCs w:val="21"/>
          <w:highlight w:val="none"/>
          <w:lang w:val="en-US" w:eastAsia="zh-CN"/>
        </w:rPr>
        <w:t>附件5（竞投报价执行清单）。</w:t>
      </w: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rPr>
        <w:t>竞投人名称</w:t>
      </w:r>
      <w:r>
        <w:rPr>
          <w:rFonts w:ascii="仿宋" w:hAnsi="仿宋" w:eastAsia="仿宋" w:cs="Times New Roman"/>
          <w:szCs w:val="21"/>
          <w:highlight w:val="none"/>
        </w:rPr>
        <w:t>:</w:t>
      </w:r>
      <w:r>
        <w:rPr>
          <w:rFonts w:hint="eastAsia" w:ascii="仿宋" w:hAnsi="仿宋" w:eastAsia="仿宋" w:cs="Times New Roman"/>
          <w:szCs w:val="21"/>
          <w:highlight w:val="none"/>
        </w:rPr>
        <w:t xml:space="preserve"> </w:t>
      </w:r>
      <w:r>
        <w:rPr>
          <w:rFonts w:hint="eastAsia" w:ascii="仿宋" w:hAnsi="仿宋" w:eastAsia="仿宋" w:cs="Times New Roman"/>
          <w:szCs w:val="21"/>
          <w:highlight w:val="none"/>
          <w:u w:val="single"/>
        </w:rPr>
        <w:t xml:space="preserve">                     </w:t>
      </w:r>
      <w:r>
        <w:rPr>
          <w:rFonts w:hint="eastAsia" w:ascii="仿宋" w:hAnsi="仿宋" w:eastAsia="仿宋" w:cs="Times New Roman"/>
          <w:szCs w:val="21"/>
          <w:highlight w:val="none"/>
        </w:rPr>
        <w:t>（公章）</w:t>
      </w: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u w:val="single"/>
        </w:rPr>
      </w:pPr>
      <w:r>
        <w:rPr>
          <w:rFonts w:hint="eastAsia" w:ascii="仿宋" w:hAnsi="仿宋" w:eastAsia="仿宋" w:cs="Times New Roman"/>
          <w:szCs w:val="21"/>
          <w:highlight w:val="none"/>
        </w:rPr>
        <w:t>竞投</w:t>
      </w:r>
      <w:r>
        <w:rPr>
          <w:rFonts w:hint="eastAsia" w:ascii="仿宋" w:hAnsi="仿宋" w:eastAsia="仿宋" w:cs="Times New Roman"/>
          <w:szCs w:val="24"/>
          <w:highlight w:val="none"/>
        </w:rPr>
        <w:t>人授权代表签字</w:t>
      </w:r>
      <w:r>
        <w:rPr>
          <w:rFonts w:hint="eastAsia" w:ascii="仿宋" w:hAnsi="仿宋" w:eastAsia="仿宋" w:cs="Times New Roman"/>
          <w:szCs w:val="21"/>
          <w:highlight w:val="none"/>
        </w:rPr>
        <w:t>（签名）：</w:t>
      </w:r>
      <w:r>
        <w:rPr>
          <w:rFonts w:hint="eastAsia" w:ascii="仿宋" w:hAnsi="仿宋" w:eastAsia="仿宋" w:cs="Times New Roman"/>
          <w:szCs w:val="21"/>
          <w:highlight w:val="none"/>
          <w:u w:val="single"/>
        </w:rPr>
        <w:t xml:space="preserve">               </w:t>
      </w:r>
    </w:p>
    <w:p>
      <w:pPr>
        <w:spacing w:line="300" w:lineRule="auto"/>
        <w:rPr>
          <w:rFonts w:ascii="仿宋" w:hAnsi="仿宋" w:eastAsia="仿宋" w:cs="Times New Roman"/>
          <w:szCs w:val="21"/>
          <w:highlight w:val="none"/>
          <w:u w:val="single"/>
        </w:rPr>
      </w:pPr>
    </w:p>
    <w:p>
      <w:pPr>
        <w:spacing w:line="300" w:lineRule="auto"/>
        <w:rPr>
          <w:rFonts w:ascii="仿宋" w:hAnsi="仿宋" w:eastAsia="仿宋" w:cs="Times New Roman"/>
          <w:b/>
          <w:sz w:val="10"/>
          <w:szCs w:val="24"/>
          <w:highlight w:val="none"/>
        </w:rPr>
      </w:pPr>
      <w:r>
        <w:rPr>
          <w:rFonts w:hint="eastAsia" w:ascii="仿宋" w:hAnsi="仿宋" w:eastAsia="仿宋" w:cs="Times New Roman"/>
          <w:szCs w:val="21"/>
          <w:highlight w:val="none"/>
        </w:rPr>
        <w:t>日期：  年   月   日</w:t>
      </w:r>
    </w:p>
    <w:p>
      <w:pPr>
        <w:spacing w:line="400" w:lineRule="exact"/>
        <w:rPr>
          <w:rFonts w:ascii="宋体" w:hAnsi="宋体" w:eastAsia="宋体" w:cs="Times New Roman"/>
          <w:szCs w:val="21"/>
          <w:highlight w:val="none"/>
          <w:u w:val="single"/>
        </w:rPr>
      </w:pPr>
    </w:p>
    <w:p>
      <w:pPr>
        <w:adjustRightInd w:val="0"/>
        <w:snapToGrid w:val="0"/>
        <w:rPr>
          <w:rFonts w:ascii="仿宋" w:hAnsi="仿宋" w:eastAsia="仿宋" w:cs="仿宋"/>
          <w:sz w:val="32"/>
          <w:szCs w:val="32"/>
          <w:highlight w:val="none"/>
        </w:rPr>
      </w:pPr>
    </w:p>
    <w:p>
      <w:pPr>
        <w:rPr>
          <w:rFonts w:ascii="Calibri" w:hAnsi="Calibri" w:eastAsia="宋体" w:cs="Times New Roman"/>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20115C1"/>
    <w:multiLevelType w:val="singleLevel"/>
    <w:tmpl w:val="620115C1"/>
    <w:lvl w:ilvl="0" w:tentative="0">
      <w:start w:val="1"/>
      <w:numFmt w:val="chineseCounting"/>
      <w:suff w:val="nothing"/>
      <w:lvlText w:val="%1、"/>
      <w:lvlJc w:val="left"/>
      <w:rPr>
        <w:rFonts w:hint="eastAsia"/>
      </w:rPr>
    </w:lvl>
  </w:abstractNum>
  <w:abstractNum w:abstractNumId="4">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13615CA"/>
    <w:rsid w:val="051A32F4"/>
    <w:rsid w:val="059509FE"/>
    <w:rsid w:val="07616CE3"/>
    <w:rsid w:val="09176986"/>
    <w:rsid w:val="091F1A63"/>
    <w:rsid w:val="0A5B2134"/>
    <w:rsid w:val="0BAA0661"/>
    <w:rsid w:val="0BEA0362"/>
    <w:rsid w:val="0CDA5969"/>
    <w:rsid w:val="0E951C7B"/>
    <w:rsid w:val="0EA915DA"/>
    <w:rsid w:val="120A5CBB"/>
    <w:rsid w:val="12D73431"/>
    <w:rsid w:val="169E0F51"/>
    <w:rsid w:val="17001131"/>
    <w:rsid w:val="18E56825"/>
    <w:rsid w:val="1A2D09F9"/>
    <w:rsid w:val="1C091BDF"/>
    <w:rsid w:val="1C5052B9"/>
    <w:rsid w:val="1E837F11"/>
    <w:rsid w:val="232E6EC3"/>
    <w:rsid w:val="251E1361"/>
    <w:rsid w:val="256C5817"/>
    <w:rsid w:val="25B120C1"/>
    <w:rsid w:val="25BE3CA0"/>
    <w:rsid w:val="25E84DC8"/>
    <w:rsid w:val="262922CC"/>
    <w:rsid w:val="26643555"/>
    <w:rsid w:val="27B824E9"/>
    <w:rsid w:val="282F2935"/>
    <w:rsid w:val="28510E09"/>
    <w:rsid w:val="28B153F6"/>
    <w:rsid w:val="291B3AC5"/>
    <w:rsid w:val="2A9F153F"/>
    <w:rsid w:val="2E423856"/>
    <w:rsid w:val="2F825B21"/>
    <w:rsid w:val="310C3C96"/>
    <w:rsid w:val="311873EB"/>
    <w:rsid w:val="31B17828"/>
    <w:rsid w:val="32165BAA"/>
    <w:rsid w:val="32607466"/>
    <w:rsid w:val="328F7A11"/>
    <w:rsid w:val="350F205E"/>
    <w:rsid w:val="36495606"/>
    <w:rsid w:val="37390197"/>
    <w:rsid w:val="38181222"/>
    <w:rsid w:val="387039AC"/>
    <w:rsid w:val="390D08A6"/>
    <w:rsid w:val="395F28FE"/>
    <w:rsid w:val="3B052D82"/>
    <w:rsid w:val="3B95637E"/>
    <w:rsid w:val="3D283E8E"/>
    <w:rsid w:val="3E9400F5"/>
    <w:rsid w:val="3F6F548D"/>
    <w:rsid w:val="3FF91C51"/>
    <w:rsid w:val="41B72958"/>
    <w:rsid w:val="41D426C5"/>
    <w:rsid w:val="42F022FE"/>
    <w:rsid w:val="43093278"/>
    <w:rsid w:val="43D34960"/>
    <w:rsid w:val="445621F6"/>
    <w:rsid w:val="46006AB7"/>
    <w:rsid w:val="466B511A"/>
    <w:rsid w:val="47E42A3C"/>
    <w:rsid w:val="4A145DFB"/>
    <w:rsid w:val="4C41689C"/>
    <w:rsid w:val="4CCB7C91"/>
    <w:rsid w:val="4FBA61C8"/>
    <w:rsid w:val="4FC1152A"/>
    <w:rsid w:val="50DF4991"/>
    <w:rsid w:val="52BC0B2D"/>
    <w:rsid w:val="56A33752"/>
    <w:rsid w:val="57FA1292"/>
    <w:rsid w:val="5957661D"/>
    <w:rsid w:val="59967A79"/>
    <w:rsid w:val="5A327747"/>
    <w:rsid w:val="5C154191"/>
    <w:rsid w:val="5C680D6B"/>
    <w:rsid w:val="5D1328DC"/>
    <w:rsid w:val="5D193A39"/>
    <w:rsid w:val="5EEB573C"/>
    <w:rsid w:val="606D57FE"/>
    <w:rsid w:val="62C7688D"/>
    <w:rsid w:val="646B61B6"/>
    <w:rsid w:val="65270EF3"/>
    <w:rsid w:val="66136998"/>
    <w:rsid w:val="677C2FE9"/>
    <w:rsid w:val="691E0363"/>
    <w:rsid w:val="6D4627B6"/>
    <w:rsid w:val="6E57217B"/>
    <w:rsid w:val="6E7C1108"/>
    <w:rsid w:val="6F0A6EE7"/>
    <w:rsid w:val="6F6315DA"/>
    <w:rsid w:val="6FA3328F"/>
    <w:rsid w:val="70063FF7"/>
    <w:rsid w:val="703E2BA5"/>
    <w:rsid w:val="71884882"/>
    <w:rsid w:val="73677D09"/>
    <w:rsid w:val="74985085"/>
    <w:rsid w:val="758C5825"/>
    <w:rsid w:val="76DE336E"/>
    <w:rsid w:val="79B9046D"/>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rFonts w:ascii="Times New Roman" w:hAnsi="Times New Roman" w:eastAsia="宋体" w:cs="Times New Roman"/>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Strong"/>
    <w:qFormat/>
    <w:uiPriority w:val="0"/>
    <w:rPr>
      <w:b/>
    </w:rPr>
  </w:style>
  <w:style w:type="character" w:styleId="9">
    <w:name w:val="page number"/>
    <w:basedOn w:val="7"/>
    <w:qFormat/>
    <w:uiPriority w:val="0"/>
  </w:style>
  <w:style w:type="character" w:customStyle="1" w:styleId="10">
    <w:name w:val="页眉 字符"/>
    <w:basedOn w:val="7"/>
    <w:link w:val="5"/>
    <w:qFormat/>
    <w:uiPriority w:val="0"/>
    <w:rPr>
      <w:rFonts w:ascii="Times New Roman" w:hAnsi="Times New Roman" w:eastAsia="宋体" w:cs="Times New Roman"/>
      <w:sz w:val="18"/>
      <w:szCs w:val="20"/>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character" w:customStyle="1" w:styleId="13">
    <w:name w:val="font61"/>
    <w:qFormat/>
    <w:uiPriority w:val="0"/>
    <w:rPr>
      <w:rFonts w:hint="eastAsia" w:ascii="微软雅黑" w:hAnsi="微软雅黑" w:eastAsia="微软雅黑" w:cs="微软雅黑"/>
      <w:b/>
      <w:color w:val="000000"/>
      <w:sz w:val="20"/>
      <w:szCs w:val="20"/>
      <w:u w:val="none"/>
    </w:rPr>
  </w:style>
  <w:style w:type="character" w:customStyle="1" w:styleId="14">
    <w:name w:val="font21"/>
    <w:qFormat/>
    <w:uiPriority w:val="0"/>
    <w:rPr>
      <w:rFonts w:hint="eastAsia" w:ascii="微软雅黑" w:hAnsi="微软雅黑" w:eastAsia="微软雅黑" w:cs="微软雅黑"/>
      <w:b/>
      <w:color w:val="000000"/>
      <w:sz w:val="24"/>
      <w:szCs w:val="24"/>
      <w:u w:val="none"/>
    </w:rPr>
  </w:style>
  <w:style w:type="character" w:customStyle="1" w:styleId="15">
    <w:name w:val="font121"/>
    <w:qFormat/>
    <w:uiPriority w:val="0"/>
    <w:rPr>
      <w:rFonts w:hint="eastAsia" w:ascii="微软雅黑" w:hAnsi="微软雅黑" w:eastAsia="微软雅黑" w:cs="微软雅黑"/>
      <w:b/>
      <w:color w:val="000000"/>
      <w:sz w:val="20"/>
      <w:szCs w:val="20"/>
      <w:u w:val="none"/>
    </w:rPr>
  </w:style>
  <w:style w:type="character" w:customStyle="1" w:styleId="16">
    <w:name w:val="批注框文本 字符"/>
    <w:basedOn w:val="7"/>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27</Pages>
  <Words>1843</Words>
  <Characters>10510</Characters>
  <Lines>87</Lines>
  <Paragraphs>24</Paragraphs>
  <TotalTime>14</TotalTime>
  <ScaleCrop>false</ScaleCrop>
  <LinksUpToDate>false</LinksUpToDate>
  <CharactersWithSpaces>12329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胡浩彬</cp:lastModifiedBy>
  <dcterms:modified xsi:type="dcterms:W3CDTF">2021-07-05T08:08:16Z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B1B8F8BB2C2C4CDFB570E2BD293FD8A5</vt:lpwstr>
  </property>
</Properties>
</file>